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59C57" w14:textId="77777777" w:rsidR="00E77137" w:rsidRPr="00093BEC" w:rsidRDefault="00E77137" w:rsidP="00093BEC">
      <w:pPr>
        <w:pStyle w:val="Title"/>
      </w:pPr>
      <w:r w:rsidRPr="00093BEC">
        <w:t xml:space="preserve">COVID-19 Australia: Epidemiology Report 47 </w:t>
      </w:r>
    </w:p>
    <w:p w14:paraId="4DAB875A" w14:textId="77777777" w:rsidR="00E77137" w:rsidRPr="00984CD9" w:rsidRDefault="00E77137" w:rsidP="00984CD9">
      <w:pPr>
        <w:pStyle w:val="Subtitle"/>
      </w:pPr>
      <w:r w:rsidRPr="00984CD9">
        <w:t xml:space="preserve">Reporting period ending 1 August 2021 </w:t>
      </w:r>
    </w:p>
    <w:p w14:paraId="4874680E" w14:textId="77777777" w:rsidR="00E77137" w:rsidRDefault="00E77137" w:rsidP="00984CD9">
      <w:r>
        <w:t xml:space="preserve">COVID-19 National Incident Room Surveillance Team </w:t>
      </w:r>
    </w:p>
    <w:p w14:paraId="34C8AB31" w14:textId="785A50BB" w:rsidR="00E77137" w:rsidRDefault="00E77137" w:rsidP="00E77137">
      <w:pPr>
        <w:pStyle w:val="Heading1"/>
      </w:pPr>
      <w:r w:rsidRPr="00E77137">
        <w:t>Summary</w:t>
      </w:r>
    </w:p>
    <w:p w14:paraId="3BD7FD69" w14:textId="15B5D3DF" w:rsidR="00BB1FC7" w:rsidRPr="00BB1FC7" w:rsidRDefault="00BB1FC7" w:rsidP="00BB1FC7">
      <w:r w:rsidRPr="00BB1FC7">
        <w:rPr>
          <w:rStyle w:val="NormalWebChar"/>
          <w:noProof/>
        </w:rPr>
        <mc:AlternateContent>
          <mc:Choice Requires="wps">
            <w:drawing>
              <wp:inline distT="0" distB="0" distL="0" distR="0" wp14:anchorId="7B8DBEE4" wp14:editId="4E5C4270">
                <wp:extent cx="6629400" cy="70294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029450"/>
                        </a:xfrm>
                        <a:prstGeom prst="rect">
                          <a:avLst/>
                        </a:prstGeom>
                        <a:solidFill>
                          <a:srgbClr val="FDEADA">
                            <a:alpha val="20000"/>
                          </a:srgbClr>
                        </a:solidFill>
                        <a:ln w="9525">
                          <a:solidFill>
                            <a:srgbClr val="FDEADA"/>
                          </a:solidFill>
                          <a:miter lim="800000"/>
                          <a:headEnd/>
                          <a:tailEnd/>
                        </a:ln>
                      </wps:spPr>
                      <wps:txbx>
                        <w:txbxContent>
                          <w:p w14:paraId="68217923" w14:textId="77777777" w:rsidR="00FA2663" w:rsidRDefault="00FA2663" w:rsidP="00BB1FC7">
                            <w:pPr>
                              <w:pStyle w:val="NormalWeb"/>
                              <w:rPr>
                                <w:sz w:val="24"/>
                                <w:szCs w:val="24"/>
                              </w:rPr>
                            </w:pPr>
                            <w:r>
                              <w:rPr>
                                <w:rStyle w:val="Strong"/>
                              </w:rPr>
                              <w:t>Trends –</w:t>
                            </w:r>
                            <w:r>
                              <w:t xml:space="preserve"> There has been an increase in the weekly number of new cases of COVID-19 since mid-June 2021. The daily average of 175 cases for this reporting period was more than double the previous fortnight’s daily average of 85 cases. There were 2,456 cases of COVID-19 this fortnight, bringing the 2021 cumulative case count to 5,680. </w:t>
                            </w:r>
                          </w:p>
                          <w:p w14:paraId="6731254E" w14:textId="77777777" w:rsidR="00FA2663" w:rsidRDefault="00FA2663" w:rsidP="00BB1FC7">
                            <w:pPr>
                              <w:pStyle w:val="NormalWeb"/>
                            </w:pPr>
                            <w:r>
                              <w:rPr>
                                <w:rStyle w:val="Strong"/>
                              </w:rPr>
                              <w:t>Local cases –</w:t>
                            </w:r>
                            <w:r>
                              <w:t xml:space="preserve"> There were 2,356 locally-acquired cases reported in Australia this fortnight, representing 96% (2,356/2,456) of cases overall. The majority of </w:t>
                            </w:r>
                            <w:proofErr w:type="gramStart"/>
                            <w:r>
                              <w:t>locally-acquired</w:t>
                            </w:r>
                            <w:proofErr w:type="gramEnd"/>
                            <w:r>
                              <w:t xml:space="preserve"> cases this fortnight were reported in New South Wales (92%; 2,159/2,356), followed by Victoria (6%; 145/2,356). </w:t>
                            </w:r>
                          </w:p>
                          <w:p w14:paraId="63710942" w14:textId="77777777" w:rsidR="00FA2663" w:rsidRDefault="00FA2663" w:rsidP="00BB1FC7">
                            <w:pPr>
                              <w:pStyle w:val="NormalWeb"/>
                            </w:pPr>
                            <w:r>
                              <w:rPr>
                                <w:rStyle w:val="Strong"/>
                              </w:rPr>
                              <w:t xml:space="preserve">Clusters and high-risk settings </w:t>
                            </w:r>
                          </w:p>
                          <w:p w14:paraId="027D26B6" w14:textId="77777777"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The size of the Sydney Metropolitan Outbreak in New South Wales continued to increase this reporting period. The first case in this outbreak, reported on 16 June 2021, was a driver transporting international flight crew. Genomic test results showed that this case was infected with the Delta SARS-CoV-2 variant (B.1.617.2). As at 1 August 2021, New South Wales reported 3,634 </w:t>
                            </w:r>
                            <w:proofErr w:type="gramStart"/>
                            <w:r>
                              <w:rPr>
                                <w:rFonts w:eastAsia="Times New Roman"/>
                              </w:rPr>
                              <w:t>locally-acquired</w:t>
                            </w:r>
                            <w:proofErr w:type="gramEnd"/>
                            <w:r>
                              <w:rPr>
                                <w:rFonts w:eastAsia="Times New Roman"/>
                              </w:rPr>
                              <w:t xml:space="preserve"> cases since 16 June 2021. Several interstate-acquired cases have also been linked to this cluster, including 216 in Victoria, 21 in South Australia, six in Western Australia, and five in Queensland. </w:t>
                            </w:r>
                          </w:p>
                          <w:p w14:paraId="1642BFA7" w14:textId="77777777"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All </w:t>
                            </w:r>
                            <w:proofErr w:type="gramStart"/>
                            <w:r>
                              <w:rPr>
                                <w:rFonts w:eastAsia="Times New Roman"/>
                              </w:rPr>
                              <w:t>locally-acquired</w:t>
                            </w:r>
                            <w:proofErr w:type="gramEnd"/>
                            <w:r>
                              <w:rPr>
                                <w:rFonts w:eastAsia="Times New Roman"/>
                              </w:rPr>
                              <w:t xml:space="preserve"> cases reported in Victoria in the reporting period were part of two community outbreaks: the Coolaroo Community Outbreak and Maribyrnong Community Outbreak. Almost </w:t>
                            </w:r>
                            <w:proofErr w:type="gramStart"/>
                            <w:r>
                              <w:rPr>
                                <w:rFonts w:eastAsia="Times New Roman"/>
                              </w:rPr>
                              <w:t>all of</w:t>
                            </w:r>
                            <w:proofErr w:type="gramEnd"/>
                            <w:r>
                              <w:rPr>
                                <w:rFonts w:eastAsia="Times New Roman"/>
                              </w:rPr>
                              <w:t xml:space="preserve"> these cases were detected in people already in quarantine. These outbreaks began following two seeding events of the Delta variant associated with travellers from New South Wales to Victoria. The first cases in the Coolaroo Community Outbreak, reported on 13 and 14 July 2021, were among a family of four that had returned from Greater Sydney on a red zone permit. As at 1 August 2021, there were 18 cases linked to this outbreak. The Maribyrnong Community Outbreak was first reported on 14 July 2021, with several cases linked to removalists from Greater Sydney. As at 1 August 2021, there were 196 cases, which were part of several interconnected outbreaks associated with the apartment complex initially visited by the removalists. </w:t>
                            </w:r>
                          </w:p>
                          <w:p w14:paraId="19BF319B" w14:textId="77777777"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Most </w:t>
                            </w:r>
                            <w:proofErr w:type="gramStart"/>
                            <w:r>
                              <w:rPr>
                                <w:rFonts w:eastAsia="Times New Roman"/>
                              </w:rPr>
                              <w:t>locally-acquired</w:t>
                            </w:r>
                            <w:proofErr w:type="gramEnd"/>
                            <w:r>
                              <w:rPr>
                                <w:rFonts w:eastAsia="Times New Roman"/>
                              </w:rPr>
                              <w:t xml:space="preserve"> cases reported in Queensland during the reporting period were part of an outbreak linked to a Brisbane high school. The first case in this outbreak was reported on 30 July 2021. The outbreak has been genomically linked to returned overseas travellers with the Delta variant. At the time of this report’s release, the epidemiological link was still under investigation. As at 1 August 2021, a total of 24 cases were linked to this outbreak: two overseas-acquired cases and 22 community cases. </w:t>
                            </w:r>
                          </w:p>
                          <w:p w14:paraId="56DEB9CF" w14:textId="35AD480A"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All </w:t>
                            </w:r>
                            <w:proofErr w:type="gramStart"/>
                            <w:r>
                              <w:rPr>
                                <w:rFonts w:eastAsia="Times New Roman"/>
                              </w:rPr>
                              <w:t>locally-acquired</w:t>
                            </w:r>
                            <w:proofErr w:type="gramEnd"/>
                            <w:r>
                              <w:rPr>
                                <w:rFonts w:eastAsia="Times New Roman"/>
                              </w:rPr>
                              <w:t xml:space="preserve"> cased reported in South Australia in the reporting period were part of the Modbury cluster. The first case in the cluster was reported on </w:t>
                            </w:r>
                            <w:proofErr w:type="gramStart"/>
                            <w:r>
                              <w:rPr>
                                <w:rFonts w:eastAsia="Times New Roman"/>
                              </w:rPr>
                              <w:t>19 July 2021, and</w:t>
                            </w:r>
                            <w:proofErr w:type="gramEnd"/>
                            <w:r>
                              <w:rPr>
                                <w:rFonts w:eastAsia="Times New Roman"/>
                              </w:rPr>
                              <w:t xml:space="preserve"> was a person who returned from overseas. Whilst in hotel quarantine in New South Wales, the person spent 10 days in a Sydney hospital for an unrelated illness before returning to South Australia. The case became symptomatic in South Australia and got tested on 18 July 2021. The source of infection for this case was still under investigation at the time of this report’s release. Genomic testing confirmed that the person was infected with the Delta variant. As at 1 August 2021, there were 21 cases linked to this outbreak.</w:t>
                            </w:r>
                          </w:p>
                        </w:txbxContent>
                      </wps:txbx>
                      <wps:bodyPr rot="0" vert="horz" wrap="square" lIns="91440" tIns="45720" rIns="91440" bIns="45720" anchor="t" anchorCtr="0">
                        <a:noAutofit/>
                      </wps:bodyPr>
                    </wps:wsp>
                  </a:graphicData>
                </a:graphic>
              </wp:inline>
            </w:drawing>
          </mc:Choice>
          <mc:Fallback>
            <w:pict>
              <v:shapetype w14:anchorId="7B8DBEE4" id="_x0000_t202" coordsize="21600,21600" o:spt="202" path="m,l,21600r21600,l21600,xe">
                <v:stroke joinstyle="miter"/>
                <v:path gradientshapeok="t" o:connecttype="rect"/>
              </v:shapetype>
              <v:shape id="Text Box 2" o:spid="_x0000_s1026" type="#_x0000_t202" style="width:522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" fillcolor="#fdeada" strokecolor="#fdeada">
                <v:fill opacity="13107f"/>
                <v:textbox>
                  <w:txbxContent>
                    <w:p w14:paraId="68217923" w14:textId="77777777" w:rsidR="00FA2663" w:rsidRDefault="00FA2663" w:rsidP="00BB1FC7">
                      <w:pPr>
                        <w:pStyle w:val="NormalWeb"/>
                        <w:rPr>
                          <w:sz w:val="24"/>
                          <w:szCs w:val="24"/>
                        </w:rPr>
                      </w:pPr>
                      <w:r>
                        <w:rPr>
                          <w:rStyle w:val="Strong"/>
                        </w:rPr>
                        <w:t>Trends –</w:t>
                      </w:r>
                      <w:r>
                        <w:t xml:space="preserve"> There has been an increase in the weekly number of new cases of COVID-19 since mid-June 2021. The daily average of 175 cases for this reporting period was more than double the previous fortnight’s daily average of 85 cases. There were 2,456 cases of COVID-19 this fortnight, bringing the 2021 cumulative case count to 5,680. </w:t>
                      </w:r>
                    </w:p>
                    <w:p w14:paraId="6731254E" w14:textId="77777777" w:rsidR="00FA2663" w:rsidRDefault="00FA2663" w:rsidP="00BB1FC7">
                      <w:pPr>
                        <w:pStyle w:val="NormalWeb"/>
                      </w:pPr>
                      <w:r>
                        <w:rPr>
                          <w:rStyle w:val="Strong"/>
                        </w:rPr>
                        <w:t>Local cases –</w:t>
                      </w:r>
                      <w:r>
                        <w:t xml:space="preserve"> There were 2,356 locally-acquired cases reported in Australia this fortnight, representing 96% (2,356/2,456) of cases overall. The majority of </w:t>
                      </w:r>
                      <w:proofErr w:type="gramStart"/>
                      <w:r>
                        <w:t>locally-acquired</w:t>
                      </w:r>
                      <w:proofErr w:type="gramEnd"/>
                      <w:r>
                        <w:t xml:space="preserve"> cases this fortnight were reported in New South Wales (92%; 2,159/2,356), followed by Victoria (6%; 145/2,356). </w:t>
                      </w:r>
                    </w:p>
                    <w:p w14:paraId="63710942" w14:textId="77777777" w:rsidR="00FA2663" w:rsidRDefault="00FA2663" w:rsidP="00BB1FC7">
                      <w:pPr>
                        <w:pStyle w:val="NormalWeb"/>
                      </w:pPr>
                      <w:r>
                        <w:rPr>
                          <w:rStyle w:val="Strong"/>
                        </w:rPr>
                        <w:t xml:space="preserve">Clusters and high-risk settings </w:t>
                      </w:r>
                    </w:p>
                    <w:p w14:paraId="027D26B6" w14:textId="77777777"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The size of the Sydney Metropolitan Outbreak in New South Wales continued to increase this reporting period. The first case in this outbreak, reported on 16 June 2021, was a driver transporting international flight crew. Genomic test results showed that this case was infected with the Delta SARS-CoV-2 variant (B.1.617.2). As at 1 August 2021, New South Wales reported 3,634 </w:t>
                      </w:r>
                      <w:proofErr w:type="gramStart"/>
                      <w:r>
                        <w:rPr>
                          <w:rFonts w:eastAsia="Times New Roman"/>
                        </w:rPr>
                        <w:t>locally-acquired</w:t>
                      </w:r>
                      <w:proofErr w:type="gramEnd"/>
                      <w:r>
                        <w:rPr>
                          <w:rFonts w:eastAsia="Times New Roman"/>
                        </w:rPr>
                        <w:t xml:space="preserve"> cases since 16 June 2021. Several interstate-acquired cases have also been linked to this cluster, including 216 in Victoria, 21 in South Australia, six in Western Australia, and five in Queensland. </w:t>
                      </w:r>
                    </w:p>
                    <w:p w14:paraId="1642BFA7" w14:textId="77777777"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All </w:t>
                      </w:r>
                      <w:proofErr w:type="gramStart"/>
                      <w:r>
                        <w:rPr>
                          <w:rFonts w:eastAsia="Times New Roman"/>
                        </w:rPr>
                        <w:t>locally-acquired</w:t>
                      </w:r>
                      <w:proofErr w:type="gramEnd"/>
                      <w:r>
                        <w:rPr>
                          <w:rFonts w:eastAsia="Times New Roman"/>
                        </w:rPr>
                        <w:t xml:space="preserve"> cases reported in Victoria in the reporting period were part of two community outbreaks: the Coolaroo Community Outbreak and Maribyrnong Community Outbreak. Almost </w:t>
                      </w:r>
                      <w:proofErr w:type="gramStart"/>
                      <w:r>
                        <w:rPr>
                          <w:rFonts w:eastAsia="Times New Roman"/>
                        </w:rPr>
                        <w:t>all of</w:t>
                      </w:r>
                      <w:proofErr w:type="gramEnd"/>
                      <w:r>
                        <w:rPr>
                          <w:rFonts w:eastAsia="Times New Roman"/>
                        </w:rPr>
                        <w:t xml:space="preserve"> these cases were detected in people already in quarantine. These outbreaks began following two seeding events of the Delta variant associated with travellers from New South Wales to Victoria. The first cases in the Coolaroo Community Outbreak, reported on 13 and 14 July 2021, were among a family of four that had returned from Greater Sydney on a red zone permit. As at 1 August 2021, there were 18 cases linked to this outbreak. The Maribyrnong Community Outbreak was first reported on 14 July 2021, with several cases linked to removalists from Greater Sydney. As at 1 August 2021, there were 196 cases, which were part of several interconnected outbreaks associated with the apartment complex initially visited by the removalists. </w:t>
                      </w:r>
                    </w:p>
                    <w:p w14:paraId="19BF319B" w14:textId="77777777"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Most </w:t>
                      </w:r>
                      <w:proofErr w:type="gramStart"/>
                      <w:r>
                        <w:rPr>
                          <w:rFonts w:eastAsia="Times New Roman"/>
                        </w:rPr>
                        <w:t>locally-acquired</w:t>
                      </w:r>
                      <w:proofErr w:type="gramEnd"/>
                      <w:r>
                        <w:rPr>
                          <w:rFonts w:eastAsia="Times New Roman"/>
                        </w:rPr>
                        <w:t xml:space="preserve"> cases reported in Queensland during the reporting period were part of an outbreak linked to a Brisbane high school. The first case in this outbreak was reported on 30 July 2021. The outbreak has been genomically linked to returned overseas travellers with the Delta variant. At the time of this report’s release, the epidemiological link was still under investigation. As at 1 August 2021, a total of 24 cases were linked to this outbreak: two overseas-acquired cases and 22 community cases. </w:t>
                      </w:r>
                    </w:p>
                    <w:p w14:paraId="56DEB9CF" w14:textId="35AD480A" w:rsidR="00FA2663" w:rsidRDefault="00FA2663" w:rsidP="00BB1FC7">
                      <w:pPr>
                        <w:numPr>
                          <w:ilvl w:val="0"/>
                          <w:numId w:val="7"/>
                        </w:numPr>
                        <w:spacing w:before="100" w:beforeAutospacing="1" w:after="100" w:afterAutospacing="1" w:line="240" w:lineRule="auto"/>
                        <w:rPr>
                          <w:rFonts w:eastAsia="Times New Roman"/>
                        </w:rPr>
                      </w:pPr>
                      <w:r>
                        <w:rPr>
                          <w:rFonts w:eastAsia="Times New Roman"/>
                        </w:rPr>
                        <w:t xml:space="preserve">All </w:t>
                      </w:r>
                      <w:proofErr w:type="gramStart"/>
                      <w:r>
                        <w:rPr>
                          <w:rFonts w:eastAsia="Times New Roman"/>
                        </w:rPr>
                        <w:t>locally-acquired</w:t>
                      </w:r>
                      <w:proofErr w:type="gramEnd"/>
                      <w:r>
                        <w:rPr>
                          <w:rFonts w:eastAsia="Times New Roman"/>
                        </w:rPr>
                        <w:t xml:space="preserve"> cased reported in South Australia in the reporting period were part of the Modbury cluster. The first case in the cluster was reported on </w:t>
                      </w:r>
                      <w:proofErr w:type="gramStart"/>
                      <w:r>
                        <w:rPr>
                          <w:rFonts w:eastAsia="Times New Roman"/>
                        </w:rPr>
                        <w:t>19 July 2021, and</w:t>
                      </w:r>
                      <w:proofErr w:type="gramEnd"/>
                      <w:r>
                        <w:rPr>
                          <w:rFonts w:eastAsia="Times New Roman"/>
                        </w:rPr>
                        <w:t xml:space="preserve"> was a person who returned from overseas. Whilst in hotel quarantine in New South Wales, the person spent 10 days in a Sydney hospital for an unrelated illness before returning to South Australia. The case became symptomatic in South Australia and got tested on 18 July 2021. The source of infection for this case was still under investigation at the time of this report’s release. Genomic testing confirmed that the person was infected with the Delta variant. As at 1 August 2021, there were 21 cases linked to this outbreak.</w:t>
                      </w:r>
                    </w:p>
                  </w:txbxContent>
                </v:textbox>
                <w10:anchorlock/>
              </v:shape>
            </w:pict>
          </mc:Fallback>
        </mc:AlternateContent>
      </w:r>
    </w:p>
    <w:p w14:paraId="3233E0D3" w14:textId="402E0762" w:rsidR="00BB1FC7" w:rsidRDefault="00BB1FC7" w:rsidP="00E77137">
      <w:r w:rsidRPr="00BB1FC7">
        <w:rPr>
          <w:rStyle w:val="NormalWebChar"/>
          <w:noProof/>
        </w:rPr>
        <w:lastRenderedPageBreak/>
        <mc:AlternateContent>
          <mc:Choice Requires="wps">
            <w:drawing>
              <wp:inline distT="0" distB="0" distL="0" distR="0" wp14:anchorId="40DE0E72" wp14:editId="62AE85B4">
                <wp:extent cx="6629400" cy="32956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295650"/>
                        </a:xfrm>
                        <a:prstGeom prst="rect">
                          <a:avLst/>
                        </a:prstGeom>
                        <a:solidFill>
                          <a:srgbClr val="FDEADA">
                            <a:alpha val="20000"/>
                          </a:srgbClr>
                        </a:solidFill>
                        <a:ln w="9525">
                          <a:solidFill>
                            <a:srgbClr val="FDEADA"/>
                          </a:solidFill>
                          <a:miter lim="800000"/>
                          <a:headEnd/>
                          <a:tailEnd/>
                        </a:ln>
                      </wps:spPr>
                      <wps:txbx>
                        <w:txbxContent>
                          <w:p w14:paraId="695AEB51" w14:textId="137D9438" w:rsidR="00FA2663" w:rsidRPr="00BB1FC7" w:rsidRDefault="00FA2663" w:rsidP="00BB1FC7">
                            <w:pPr>
                              <w:pStyle w:val="NormalWeb"/>
                              <w:rPr>
                                <w:rStyle w:val="Strong"/>
                                <w:b w:val="0"/>
                                <w:bCs w:val="0"/>
                              </w:rPr>
                            </w:pPr>
                            <w:r>
                              <w:rPr>
                                <w:rStyle w:val="Strong"/>
                              </w:rPr>
                              <w:t>Aboriginal and Torres Strait Islander persons –</w:t>
                            </w:r>
                            <w:r>
                              <w:t xml:space="preserve"> During the reporting period, 15 new Aboriginal and Torres Strait Islander cases were notified, of which 14 were locally acquired from New South Wales and one was overseas acquired from Queensland. In 2021 to date, there were 32 cases reported in Aboriginal and Torres Strait Islander people. </w:t>
                            </w:r>
                          </w:p>
                          <w:p w14:paraId="31B11C1F" w14:textId="2A99CD04" w:rsidR="00FA2663" w:rsidRPr="00BB1FC7" w:rsidRDefault="00FA2663" w:rsidP="00BB1FC7">
                            <w:pPr>
                              <w:pStyle w:val="NormalWeb"/>
                              <w:rPr>
                                <w:rStyle w:val="Strong"/>
                                <w:b w:val="0"/>
                                <w:bCs w:val="0"/>
                              </w:rPr>
                            </w:pPr>
                            <w:r>
                              <w:rPr>
                                <w:rStyle w:val="Strong"/>
                              </w:rPr>
                              <w:t>Overseas cases –</w:t>
                            </w:r>
                            <w:r>
                              <w:t xml:space="preserve"> There were 91 overseas-acquired cases this reporting period, with the largest number of cases reported in Queensland (33%; 30/91), followed by New South Wales (25%; 23/91) and Western Australia (22%; 20/91).</w:t>
                            </w:r>
                          </w:p>
                          <w:p w14:paraId="4C15C868" w14:textId="77777777" w:rsidR="00FA2663" w:rsidRDefault="00FA2663" w:rsidP="00BB1FC7">
                            <w:pPr>
                              <w:pStyle w:val="NormalWeb"/>
                            </w:pPr>
                            <w:r>
                              <w:rPr>
                                <w:rStyle w:val="Strong"/>
                              </w:rPr>
                              <w:t>Severity –</w:t>
                            </w:r>
                            <w:r>
                              <w:t xml:space="preserve"> Based on data from selected jurisdictions, from 1 January to 1 August 2021 the estimated proportion of cases hospitalised was 11.6% (592/5,095) and the proportion admitted to an intensive care unit (ICU) was 2.3% (117/5,095). In 2021, the case fatality rate for the year to date was 0.3% (16/5,680), with 11 new COVID-19-associated deaths notified during this reporting period. </w:t>
                            </w:r>
                          </w:p>
                          <w:p w14:paraId="34D21629" w14:textId="65973ADC" w:rsidR="00FA2663" w:rsidRDefault="00FA2663" w:rsidP="00BB1FC7">
                            <w:pPr>
                              <w:pStyle w:val="NormalWeb"/>
                            </w:pPr>
                            <w:r>
                              <w:rPr>
                                <w:rStyle w:val="Strong"/>
                              </w:rPr>
                              <w:t>Vaccinations –</w:t>
                            </w:r>
                            <w:r>
                              <w:t xml:space="preserve"> As at 1 August 2021, there have been 12,393,893 doses of COVID-19 vaccine administered in Australia.</w:t>
                            </w:r>
                          </w:p>
                        </w:txbxContent>
                      </wps:txbx>
                      <wps:bodyPr rot="0" vert="horz" wrap="square" lIns="91440" tIns="45720" rIns="91440" bIns="45720" anchor="t" anchorCtr="0">
                        <a:noAutofit/>
                      </wps:bodyPr>
                    </wps:wsp>
                  </a:graphicData>
                </a:graphic>
              </wp:inline>
            </w:drawing>
          </mc:Choice>
          <mc:Fallback>
            <w:pict>
              <v:shape w14:anchorId="40DE0E72" id="_x0000_s1027" type="#_x0000_t202" style="width:522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" fillcolor="#fdeada" strokecolor="#fdeada">
                <v:fill opacity="13107f"/>
                <v:textbox>
                  <w:txbxContent>
                    <w:p w14:paraId="695AEB51" w14:textId="137D9438" w:rsidR="00FA2663" w:rsidRPr="00BB1FC7" w:rsidRDefault="00FA2663" w:rsidP="00BB1FC7">
                      <w:pPr>
                        <w:pStyle w:val="NormalWeb"/>
                        <w:rPr>
                          <w:rStyle w:val="Strong"/>
                          <w:b w:val="0"/>
                          <w:bCs w:val="0"/>
                        </w:rPr>
                      </w:pPr>
                      <w:r>
                        <w:rPr>
                          <w:rStyle w:val="Strong"/>
                        </w:rPr>
                        <w:t>Aboriginal and Torres Strait Islander persons –</w:t>
                      </w:r>
                      <w:r>
                        <w:t xml:space="preserve"> During the reporting period, 15 new Aboriginal and Torres Strait Islander cases were notified, of which 14 were locally acquired from New South Wales and one was overseas acquired from Queensland. In 2021 to date, there were 32 cases reported in Aboriginal and Torres Strait Islander people. </w:t>
                      </w:r>
                    </w:p>
                    <w:p w14:paraId="31B11C1F" w14:textId="2A99CD04" w:rsidR="00FA2663" w:rsidRPr="00BB1FC7" w:rsidRDefault="00FA2663" w:rsidP="00BB1FC7">
                      <w:pPr>
                        <w:pStyle w:val="NormalWeb"/>
                        <w:rPr>
                          <w:rStyle w:val="Strong"/>
                          <w:b w:val="0"/>
                          <w:bCs w:val="0"/>
                        </w:rPr>
                      </w:pPr>
                      <w:r>
                        <w:rPr>
                          <w:rStyle w:val="Strong"/>
                        </w:rPr>
                        <w:t>Overseas cases –</w:t>
                      </w:r>
                      <w:r>
                        <w:t xml:space="preserve"> There were 91 overseas-acquired cases this reporting period, with the largest number of cases reported in Queensland (33%; 30/91), followed by New South Wales (25%; 23/91) and Western Australia (22%; 20/91).</w:t>
                      </w:r>
                    </w:p>
                    <w:p w14:paraId="4C15C868" w14:textId="77777777" w:rsidR="00FA2663" w:rsidRDefault="00FA2663" w:rsidP="00BB1FC7">
                      <w:pPr>
                        <w:pStyle w:val="NormalWeb"/>
                      </w:pPr>
                      <w:r>
                        <w:rPr>
                          <w:rStyle w:val="Strong"/>
                        </w:rPr>
                        <w:t>Severity –</w:t>
                      </w:r>
                      <w:r>
                        <w:t xml:space="preserve"> Based on data from selected jurisdictions, from 1 January to 1 August 2021 the estimated proportion of cases hospitalised was 11.6% (592/5,095) and the proportion admitted to an intensive care unit (ICU) was 2.3% (117/5,095). In 2021, the case fatality rate for the year to date was 0.3% (16/5,680), with 11 new COVID-19-associated deaths notified during this reporting period. </w:t>
                      </w:r>
                    </w:p>
                    <w:p w14:paraId="34D21629" w14:textId="65973ADC" w:rsidR="00FA2663" w:rsidRDefault="00FA2663" w:rsidP="00BB1FC7">
                      <w:pPr>
                        <w:pStyle w:val="NormalWeb"/>
                      </w:pPr>
                      <w:r>
                        <w:rPr>
                          <w:rStyle w:val="Strong"/>
                        </w:rPr>
                        <w:t>Vaccinations –</w:t>
                      </w:r>
                      <w:r>
                        <w:t xml:space="preserve"> As at 1 August 2021, there have been 12,393,893 doses of COVID-19 vaccine administered in Australia.</w:t>
                      </w:r>
                    </w:p>
                  </w:txbxContent>
                </v:textbox>
                <w10:anchorlock/>
              </v:shape>
            </w:pict>
          </mc:Fallback>
        </mc:AlternateContent>
      </w:r>
    </w:p>
    <w:p w14:paraId="115C42EE" w14:textId="30C5E01F" w:rsidR="00E77137" w:rsidRDefault="00E77137" w:rsidP="00E77137">
      <w:r>
        <w:t xml:space="preserve">Keywords: </w:t>
      </w:r>
      <w:r w:rsidRPr="00330BF2">
        <w:rPr>
          <w:rStyle w:val="Emphasis"/>
          <w:b w:val="0"/>
          <w:bCs w:val="0"/>
        </w:rPr>
        <w:t xml:space="preserve">SARS-CoV-2; novel coronavirus; 2019-nCoV; coronavirus disease 2019; </w:t>
      </w:r>
      <w:r>
        <w:t>COVID-19</w:t>
      </w:r>
      <w:r w:rsidRPr="00330BF2">
        <w:rPr>
          <w:rStyle w:val="Emphasis"/>
          <w:b w:val="0"/>
          <w:bCs w:val="0"/>
        </w:rPr>
        <w:t xml:space="preserve">; acute respiratory disease; epidemiology; Australia </w:t>
      </w:r>
    </w:p>
    <w:p w14:paraId="1B806CEB" w14:textId="77777777" w:rsidR="00E77137" w:rsidRDefault="00E77137" w:rsidP="00E77137">
      <w:r>
        <w:t>This reporting period covers the two-week period 19 July – 1 August 2021, with data for this period compared to that from the previous two-week reporting period (5–18 July 2021).</w:t>
      </w:r>
      <w:r>
        <w:rPr>
          <w:vertAlign w:val="superscript"/>
        </w:rPr>
        <w:t>1</w:t>
      </w:r>
      <w:r>
        <w:t xml:space="preserve"> The focus of this report is on the epidemiological situation in Australia since the beginning of 2021. Readers are encouraged to consult prior reports in this series for information on the epidemiology of cases in Australia in 2020. </w:t>
      </w:r>
    </w:p>
    <w:p w14:paraId="28DF3FA6" w14:textId="28A643FC" w:rsidR="00E77137" w:rsidRDefault="00E77137" w:rsidP="00E77137">
      <w:r>
        <w:t>Acute respiratory illness, testing, public health response measures, virology and the international situation are reported in detail on a four-weekly basis and are not included in this report. The latest information on these topics can be found in Epidemiology Report 46,</w:t>
      </w:r>
      <w:r>
        <w:rPr>
          <w:vertAlign w:val="superscript"/>
        </w:rPr>
        <w:t>1</w:t>
      </w:r>
      <w:r>
        <w:t xml:space="preserve"> state and territory health websites,</w:t>
      </w:r>
      <w:r w:rsidR="000E1F4B">
        <w:rPr>
          <w:rStyle w:val="FootnoteReference"/>
        </w:rPr>
        <w:footnoteReference w:id="2"/>
      </w:r>
      <w:r>
        <w:t xml:space="preserve"> the World Health Organization’s weekly situation report</w:t>
      </w:r>
      <w:r w:rsidR="00FA2663">
        <w:t>s,</w:t>
      </w:r>
      <w:r w:rsidR="00747977">
        <w:rPr>
          <w:rStyle w:val="FootnoteReference"/>
        </w:rPr>
        <w:footnoteReference w:id="3"/>
      </w:r>
      <w:r>
        <w:t xml:space="preserve"> and the Department of Health’s current situation and case numbers webpage.</w:t>
      </w:r>
      <w:r w:rsidR="00747977">
        <w:rPr>
          <w:rStyle w:val="FootnoteReference"/>
        </w:rPr>
        <w:footnoteReference w:id="4"/>
      </w:r>
      <w:r>
        <w:t xml:space="preserve"> </w:t>
      </w:r>
    </w:p>
    <w:p w14:paraId="179999B3" w14:textId="77777777" w:rsidR="00E77137" w:rsidRDefault="00E77137" w:rsidP="00E77137">
      <w:r>
        <w:t>From report 46 onward, and unless otherwise specified, tabulated data and data within the text are extracted from the National Notifiable Diseases Surveillance System (NNDSS) based on ‘notification received date’ rather than ‘diagnosis date’ (see the Technical Supplement for definitions).</w:t>
      </w:r>
      <w:r>
        <w:rPr>
          <w:vertAlign w:val="superscript"/>
        </w:rPr>
        <w:t>2</w:t>
      </w:r>
      <w:r>
        <w:t xml:space="preserve"> As a case’s diagnosis date can be several days prior to the date of its notification, there is potential for newly-notified cases to be excluded from the case count in the current reporting period when reporting by ‘diagnosis date’. Using ‘notification received date’ ensures that the case count for the reporting period better reflects the number of </w:t>
      </w:r>
      <w:proofErr w:type="gramStart"/>
      <w:r>
        <w:t>newly-notified</w:t>
      </w:r>
      <w:proofErr w:type="gramEnd"/>
      <w:r>
        <w:t xml:space="preserve"> cases. As the graphs presented in this report, based on NNDSS data, reflect a larger time period (i.e. year to date and entire pandemic), these will continue to be based on diagnosis date to enable a more accurate understanding of infection risk and local transmission. </w:t>
      </w:r>
    </w:p>
    <w:p w14:paraId="7AAA2C0F" w14:textId="77777777" w:rsidR="00E77137" w:rsidRPr="00E77137" w:rsidRDefault="00E77137" w:rsidP="00E77137">
      <w:pPr>
        <w:pStyle w:val="Heading2"/>
      </w:pPr>
      <w:r w:rsidRPr="00E77137">
        <w:t xml:space="preserve">Background and data sources </w:t>
      </w:r>
    </w:p>
    <w:p w14:paraId="6D6938F4" w14:textId="77777777" w:rsidR="00E77137" w:rsidRDefault="00E77137" w:rsidP="00E77137">
      <w:r>
        <w:t xml:space="preserve">See the Technical Supplement for general information on COVID-19 including modes of transmission, common </w:t>
      </w:r>
      <w:proofErr w:type="gramStart"/>
      <w:r>
        <w:t>symptoms</w:t>
      </w:r>
      <w:proofErr w:type="gramEnd"/>
      <w:r>
        <w:t xml:space="preserve"> and severity.</w:t>
      </w:r>
      <w:r>
        <w:rPr>
          <w:vertAlign w:val="superscript"/>
        </w:rPr>
        <w:t xml:space="preserve">2 </w:t>
      </w:r>
    </w:p>
    <w:p w14:paraId="78BACC11" w14:textId="77777777" w:rsidR="00E77137" w:rsidRPr="00E77137" w:rsidRDefault="00E77137" w:rsidP="00E77137">
      <w:pPr>
        <w:pStyle w:val="Heading1"/>
      </w:pPr>
      <w:r w:rsidRPr="00E77137">
        <w:lastRenderedPageBreak/>
        <w:t xml:space="preserve">Activity </w:t>
      </w:r>
    </w:p>
    <w:p w14:paraId="3133A9E1" w14:textId="77777777" w:rsidR="00E77137" w:rsidRPr="00E77137" w:rsidRDefault="00E77137" w:rsidP="00E77137">
      <w:pPr>
        <w:pStyle w:val="Heading2"/>
      </w:pPr>
      <w:r w:rsidRPr="00E77137">
        <w:t xml:space="preserve">COVID-19 trends </w:t>
      </w:r>
    </w:p>
    <w:p w14:paraId="2608E067" w14:textId="77777777" w:rsidR="00E77137" w:rsidRPr="00330BF2" w:rsidRDefault="00E77137" w:rsidP="00E77137">
      <w:pPr>
        <w:pStyle w:val="Heading3"/>
        <w:rPr>
          <w:b w:val="0"/>
          <w:bCs w:val="0"/>
          <w:i/>
          <w:iCs/>
        </w:rPr>
      </w:pPr>
      <w:r w:rsidRPr="00330BF2">
        <w:rPr>
          <w:b w:val="0"/>
          <w:bCs w:val="0"/>
          <w:i/>
          <w:iCs/>
        </w:rPr>
        <w:t xml:space="preserve">(NNDSS and jurisdictional reporting to NIR) </w:t>
      </w:r>
    </w:p>
    <w:p w14:paraId="3D9583B8" w14:textId="3B12100D" w:rsidR="00E77137" w:rsidRDefault="00E77137" w:rsidP="00E77137">
      <w:r>
        <w:t xml:space="preserve">This fortnight, there were more than double the number of cases reported in the previous fortnight. A total of 2,456 cases had a notification received date within this two-week reporting period (an average of 175 cases per day), compared to 1,192 cases (an average of 85 cases per day) in the previous reporting period. </w:t>
      </w:r>
      <w:proofErr w:type="gramStart"/>
      <w:r>
        <w:t>The majority of</w:t>
      </w:r>
      <w:proofErr w:type="gramEnd"/>
      <w:r>
        <w:t xml:space="preserve"> cases reported in the last 14 days occurred in New South Wales (89%; 2,190/2,456), followed by Victoria (6%; 153/2,456). The Australian Capital Territory and Tasmania did not report any cases during the reporting period (Table 1).</w:t>
      </w:r>
    </w:p>
    <w:p w14:paraId="451A3C67" w14:textId="77777777" w:rsidR="004B375D" w:rsidRPr="00BC1BAD" w:rsidRDefault="004B375D" w:rsidP="004B375D">
      <w:pPr>
        <w:pStyle w:val="CDIFigures"/>
      </w:pPr>
      <w:r w:rsidRPr="00BC1BAD">
        <w:rPr>
          <w:rStyle w:val="Strong"/>
          <w:b/>
          <w:bCs w:val="0"/>
        </w:rPr>
        <w:t>Table 1: COVID-19 notifications by jurisdiction and source of acquisition, with a notification received date of 19 July – 1 August 2021</w:t>
      </w:r>
      <w:r w:rsidRPr="00BC1BAD">
        <w:rPr>
          <w:rStyle w:val="Strong"/>
          <w:b/>
          <w:bCs w:val="0"/>
          <w:vertAlign w:val="superscript"/>
        </w:rPr>
        <w:t>a</w:t>
      </w:r>
    </w:p>
    <w:tbl>
      <w:tblPr>
        <w:tblStyle w:val="CDI-StandardTable"/>
        <w:tblW w:w="0" w:type="auto"/>
        <w:tblLook w:val="04A0" w:firstRow="1" w:lastRow="0" w:firstColumn="1" w:lastColumn="0" w:noHBand="0" w:noVBand="1"/>
        <w:tblDescription w:val="Table 1 shows COVID-19 notifications by jurisdiction and by source of acquisition, for cases with a notification received date within the current fortnightly reporting period. Two thousand four hundred and fifty-six cases were notified in the current reporting period, of which 2,356 were acquired locally, 91 were acquired overseas, and nine were under initial investigation. Cases were predominantly notified in New South Wales (2,190), with most of these cases (2,136) locally acquired. Other jurisdictions reporting cases were Victoria (153 cases overall), Queensland (61), South Australia (25), Western Australia (20) and the Northern Territory (7). Tasmania and the Australian Capital Territory did not report any cases in this reporting period."/>
      </w:tblPr>
      <w:tblGrid>
        <w:gridCol w:w="2722"/>
        <w:gridCol w:w="810"/>
        <w:gridCol w:w="811"/>
        <w:gridCol w:w="810"/>
        <w:gridCol w:w="811"/>
        <w:gridCol w:w="810"/>
        <w:gridCol w:w="811"/>
        <w:gridCol w:w="810"/>
        <w:gridCol w:w="811"/>
        <w:gridCol w:w="1260"/>
      </w:tblGrid>
      <w:tr w:rsidR="004B375D" w:rsidRPr="00BC1BAD" w14:paraId="7A534B9B" w14:textId="77777777" w:rsidTr="00FA2663">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1A8C1DCD" w14:textId="77777777" w:rsidR="004B375D" w:rsidRPr="00BC1BAD" w:rsidRDefault="004B375D" w:rsidP="00FA2663">
            <w:pPr>
              <w:pStyle w:val="NormalWeb"/>
              <w:rPr>
                <w:color w:val="FFFFFF" w:themeColor="background1"/>
              </w:rPr>
            </w:pPr>
            <w:proofErr w:type="spellStart"/>
            <w:r w:rsidRPr="00BC1BAD">
              <w:rPr>
                <w:color w:val="FFFFFF" w:themeColor="background1"/>
              </w:rPr>
              <w:t>Source</w:t>
            </w:r>
            <w:r w:rsidRPr="00BC1BAD">
              <w:rPr>
                <w:color w:val="FFFFFF" w:themeColor="background1"/>
                <w:vertAlign w:val="superscript"/>
              </w:rPr>
              <w:t>b</w:t>
            </w:r>
            <w:proofErr w:type="spellEnd"/>
          </w:p>
        </w:tc>
        <w:tc>
          <w:tcPr>
            <w:tcW w:w="810" w:type="dxa"/>
            <w:tcBorders>
              <w:left w:val="single" w:sz="2" w:space="0" w:color="FFFFFF" w:themeColor="background1"/>
              <w:right w:val="single" w:sz="2" w:space="0" w:color="FFFFFF" w:themeColor="background1"/>
            </w:tcBorders>
            <w:hideMark/>
          </w:tcPr>
          <w:p w14:paraId="0C6007E9" w14:textId="77777777" w:rsidR="004B375D" w:rsidRPr="00BC1BAD" w:rsidRDefault="004B375D" w:rsidP="00FA2663">
            <w:pPr>
              <w:pStyle w:val="NormalWeb"/>
              <w:jc w:val="center"/>
              <w:rPr>
                <w:color w:val="FFFFFF" w:themeColor="background1"/>
              </w:rPr>
            </w:pPr>
            <w:r w:rsidRPr="00BC1BAD">
              <w:rPr>
                <w:color w:val="FFFFFF" w:themeColor="background1"/>
              </w:rPr>
              <w:t>ACT</w:t>
            </w:r>
          </w:p>
        </w:tc>
        <w:tc>
          <w:tcPr>
            <w:tcW w:w="811" w:type="dxa"/>
            <w:tcBorders>
              <w:left w:val="single" w:sz="2" w:space="0" w:color="FFFFFF" w:themeColor="background1"/>
              <w:right w:val="single" w:sz="2" w:space="0" w:color="FFFFFF" w:themeColor="background1"/>
            </w:tcBorders>
            <w:hideMark/>
          </w:tcPr>
          <w:p w14:paraId="5B1C1F3A" w14:textId="77777777" w:rsidR="004B375D" w:rsidRPr="00BC1BAD" w:rsidRDefault="004B375D" w:rsidP="00FA2663">
            <w:pPr>
              <w:pStyle w:val="NormalWeb"/>
              <w:jc w:val="center"/>
              <w:rPr>
                <w:color w:val="FFFFFF" w:themeColor="background1"/>
              </w:rPr>
            </w:pPr>
            <w:r w:rsidRPr="00BC1BAD">
              <w:rPr>
                <w:color w:val="FFFFFF" w:themeColor="background1"/>
              </w:rPr>
              <w:t>NSW</w:t>
            </w:r>
          </w:p>
        </w:tc>
        <w:tc>
          <w:tcPr>
            <w:tcW w:w="810" w:type="dxa"/>
            <w:tcBorders>
              <w:left w:val="single" w:sz="2" w:space="0" w:color="FFFFFF" w:themeColor="background1"/>
              <w:right w:val="single" w:sz="2" w:space="0" w:color="FFFFFF" w:themeColor="background1"/>
            </w:tcBorders>
            <w:hideMark/>
          </w:tcPr>
          <w:p w14:paraId="60E6ED01" w14:textId="77777777" w:rsidR="004B375D" w:rsidRPr="00BC1BAD" w:rsidRDefault="004B375D" w:rsidP="00FA2663">
            <w:pPr>
              <w:pStyle w:val="NormalWeb"/>
              <w:jc w:val="center"/>
              <w:rPr>
                <w:color w:val="FFFFFF" w:themeColor="background1"/>
              </w:rPr>
            </w:pPr>
            <w:r w:rsidRPr="00BC1BAD">
              <w:rPr>
                <w:color w:val="FFFFFF" w:themeColor="background1"/>
              </w:rPr>
              <w:t>NT</w:t>
            </w:r>
          </w:p>
        </w:tc>
        <w:tc>
          <w:tcPr>
            <w:tcW w:w="811" w:type="dxa"/>
            <w:tcBorders>
              <w:left w:val="single" w:sz="2" w:space="0" w:color="FFFFFF" w:themeColor="background1"/>
              <w:right w:val="single" w:sz="2" w:space="0" w:color="FFFFFF" w:themeColor="background1"/>
            </w:tcBorders>
            <w:hideMark/>
          </w:tcPr>
          <w:p w14:paraId="161F1FA6" w14:textId="77777777" w:rsidR="004B375D" w:rsidRPr="00BC1BAD" w:rsidRDefault="004B375D" w:rsidP="00FA2663">
            <w:pPr>
              <w:pStyle w:val="NormalWeb"/>
              <w:jc w:val="center"/>
              <w:rPr>
                <w:color w:val="FFFFFF" w:themeColor="background1"/>
              </w:rPr>
            </w:pPr>
            <w:r w:rsidRPr="00BC1BAD">
              <w:rPr>
                <w:color w:val="FFFFFF" w:themeColor="background1"/>
              </w:rPr>
              <w:t>Qld</w:t>
            </w:r>
          </w:p>
        </w:tc>
        <w:tc>
          <w:tcPr>
            <w:tcW w:w="810" w:type="dxa"/>
            <w:tcBorders>
              <w:left w:val="single" w:sz="2" w:space="0" w:color="FFFFFF" w:themeColor="background1"/>
              <w:right w:val="single" w:sz="2" w:space="0" w:color="FFFFFF" w:themeColor="background1"/>
            </w:tcBorders>
            <w:hideMark/>
          </w:tcPr>
          <w:p w14:paraId="430DE671" w14:textId="77777777" w:rsidR="004B375D" w:rsidRPr="00BC1BAD" w:rsidRDefault="004B375D" w:rsidP="00FA2663">
            <w:pPr>
              <w:pStyle w:val="NormalWeb"/>
              <w:jc w:val="center"/>
              <w:rPr>
                <w:color w:val="FFFFFF" w:themeColor="background1"/>
              </w:rPr>
            </w:pPr>
            <w:r w:rsidRPr="00BC1BAD">
              <w:rPr>
                <w:color w:val="FFFFFF" w:themeColor="background1"/>
              </w:rPr>
              <w:t>SA</w:t>
            </w:r>
          </w:p>
        </w:tc>
        <w:tc>
          <w:tcPr>
            <w:tcW w:w="811" w:type="dxa"/>
            <w:tcBorders>
              <w:left w:val="single" w:sz="2" w:space="0" w:color="FFFFFF" w:themeColor="background1"/>
              <w:right w:val="single" w:sz="2" w:space="0" w:color="FFFFFF" w:themeColor="background1"/>
            </w:tcBorders>
            <w:hideMark/>
          </w:tcPr>
          <w:p w14:paraId="074E4D4E" w14:textId="77777777" w:rsidR="004B375D" w:rsidRPr="00BC1BAD" w:rsidRDefault="004B375D" w:rsidP="00FA2663">
            <w:pPr>
              <w:pStyle w:val="NormalWeb"/>
              <w:jc w:val="center"/>
              <w:rPr>
                <w:color w:val="FFFFFF" w:themeColor="background1"/>
              </w:rPr>
            </w:pPr>
            <w:r w:rsidRPr="00BC1BAD">
              <w:rPr>
                <w:color w:val="FFFFFF" w:themeColor="background1"/>
              </w:rPr>
              <w:t>Tas.</w:t>
            </w:r>
          </w:p>
        </w:tc>
        <w:tc>
          <w:tcPr>
            <w:tcW w:w="810" w:type="dxa"/>
            <w:tcBorders>
              <w:left w:val="single" w:sz="2" w:space="0" w:color="FFFFFF" w:themeColor="background1"/>
              <w:right w:val="single" w:sz="2" w:space="0" w:color="FFFFFF" w:themeColor="background1"/>
            </w:tcBorders>
            <w:hideMark/>
          </w:tcPr>
          <w:p w14:paraId="61F84B0D" w14:textId="77777777" w:rsidR="004B375D" w:rsidRPr="00BC1BAD" w:rsidRDefault="004B375D" w:rsidP="00FA2663">
            <w:pPr>
              <w:pStyle w:val="NormalWeb"/>
              <w:jc w:val="center"/>
              <w:rPr>
                <w:color w:val="FFFFFF" w:themeColor="background1"/>
              </w:rPr>
            </w:pPr>
            <w:r w:rsidRPr="00BC1BAD">
              <w:rPr>
                <w:color w:val="FFFFFF" w:themeColor="background1"/>
              </w:rPr>
              <w:t>Vic.</w:t>
            </w:r>
          </w:p>
        </w:tc>
        <w:tc>
          <w:tcPr>
            <w:tcW w:w="811" w:type="dxa"/>
            <w:tcBorders>
              <w:left w:val="single" w:sz="2" w:space="0" w:color="FFFFFF" w:themeColor="background1"/>
              <w:right w:val="single" w:sz="2" w:space="0" w:color="FFFFFF" w:themeColor="background1"/>
            </w:tcBorders>
            <w:hideMark/>
          </w:tcPr>
          <w:p w14:paraId="0D6427E3" w14:textId="77777777" w:rsidR="004B375D" w:rsidRPr="00BC1BAD" w:rsidRDefault="004B375D" w:rsidP="00FA2663">
            <w:pPr>
              <w:pStyle w:val="NormalWeb"/>
              <w:jc w:val="center"/>
              <w:rPr>
                <w:color w:val="FFFFFF" w:themeColor="background1"/>
              </w:rPr>
            </w:pPr>
            <w:r w:rsidRPr="00BC1BAD">
              <w:rPr>
                <w:color w:val="FFFFFF" w:themeColor="background1"/>
              </w:rPr>
              <w:t>WA</w:t>
            </w:r>
          </w:p>
        </w:tc>
        <w:tc>
          <w:tcPr>
            <w:tcW w:w="1260" w:type="dxa"/>
            <w:tcBorders>
              <w:left w:val="single" w:sz="2" w:space="0" w:color="FFFFFF" w:themeColor="background1"/>
            </w:tcBorders>
            <w:hideMark/>
          </w:tcPr>
          <w:p w14:paraId="565AF419" w14:textId="77777777" w:rsidR="004B375D" w:rsidRPr="00BC1BAD" w:rsidRDefault="004B375D" w:rsidP="00FA2663">
            <w:pPr>
              <w:pStyle w:val="NormalWeb"/>
              <w:jc w:val="center"/>
              <w:rPr>
                <w:color w:val="FFFFFF" w:themeColor="background1"/>
              </w:rPr>
            </w:pPr>
            <w:r w:rsidRPr="00BC1BAD">
              <w:rPr>
                <w:color w:val="FFFFFF" w:themeColor="background1"/>
              </w:rPr>
              <w:t>Australia</w:t>
            </w:r>
          </w:p>
        </w:tc>
      </w:tr>
      <w:tr w:rsidR="004B375D" w14:paraId="6CAC4098" w14:textId="77777777" w:rsidTr="00FA2663">
        <w:tblPrEx>
          <w:tblCellMar>
            <w:top w:w="57" w:type="dxa"/>
            <w:left w:w="57" w:type="dxa"/>
            <w:bottom w:w="57" w:type="dxa"/>
            <w:right w:w="57" w:type="dxa"/>
          </w:tblCellMar>
        </w:tblPrEx>
        <w:tc>
          <w:tcPr>
            <w:tcW w:w="0" w:type="auto"/>
            <w:hideMark/>
          </w:tcPr>
          <w:p w14:paraId="6888620E" w14:textId="77777777" w:rsidR="004B375D" w:rsidRDefault="004B375D" w:rsidP="00FA2663">
            <w:pPr>
              <w:pStyle w:val="NormalWeb"/>
            </w:pPr>
            <w:r>
              <w:t>Overseas</w:t>
            </w:r>
          </w:p>
        </w:tc>
        <w:tc>
          <w:tcPr>
            <w:tcW w:w="810" w:type="dxa"/>
            <w:hideMark/>
          </w:tcPr>
          <w:p w14:paraId="5326B0E4" w14:textId="77777777" w:rsidR="004B375D" w:rsidRDefault="004B375D" w:rsidP="00FA2663">
            <w:pPr>
              <w:pStyle w:val="NormalWeb"/>
              <w:jc w:val="center"/>
            </w:pPr>
            <w:r>
              <w:t>0</w:t>
            </w:r>
          </w:p>
        </w:tc>
        <w:tc>
          <w:tcPr>
            <w:tcW w:w="811" w:type="dxa"/>
            <w:hideMark/>
          </w:tcPr>
          <w:p w14:paraId="0E5CF3B2" w14:textId="77777777" w:rsidR="004B375D" w:rsidRDefault="004B375D" w:rsidP="00FA2663">
            <w:pPr>
              <w:pStyle w:val="NormalWeb"/>
              <w:jc w:val="center"/>
            </w:pPr>
            <w:r>
              <w:t>23</w:t>
            </w:r>
          </w:p>
        </w:tc>
        <w:tc>
          <w:tcPr>
            <w:tcW w:w="810" w:type="dxa"/>
            <w:hideMark/>
          </w:tcPr>
          <w:p w14:paraId="1EFDB77A" w14:textId="77777777" w:rsidR="004B375D" w:rsidRDefault="004B375D" w:rsidP="00FA2663">
            <w:pPr>
              <w:pStyle w:val="NormalWeb"/>
              <w:jc w:val="center"/>
            </w:pPr>
            <w:r>
              <w:t>7</w:t>
            </w:r>
          </w:p>
        </w:tc>
        <w:tc>
          <w:tcPr>
            <w:tcW w:w="811" w:type="dxa"/>
            <w:hideMark/>
          </w:tcPr>
          <w:p w14:paraId="06748590" w14:textId="77777777" w:rsidR="004B375D" w:rsidRDefault="004B375D" w:rsidP="00FA2663">
            <w:pPr>
              <w:pStyle w:val="NormalWeb"/>
              <w:jc w:val="center"/>
            </w:pPr>
            <w:r>
              <w:t>30</w:t>
            </w:r>
          </w:p>
        </w:tc>
        <w:tc>
          <w:tcPr>
            <w:tcW w:w="810" w:type="dxa"/>
            <w:hideMark/>
          </w:tcPr>
          <w:p w14:paraId="3F34884E" w14:textId="77777777" w:rsidR="004B375D" w:rsidRDefault="004B375D" w:rsidP="00FA2663">
            <w:pPr>
              <w:pStyle w:val="NormalWeb"/>
              <w:jc w:val="center"/>
            </w:pPr>
            <w:r>
              <w:t>4</w:t>
            </w:r>
          </w:p>
        </w:tc>
        <w:tc>
          <w:tcPr>
            <w:tcW w:w="811" w:type="dxa"/>
            <w:hideMark/>
          </w:tcPr>
          <w:p w14:paraId="5D5DEB81" w14:textId="77777777" w:rsidR="004B375D" w:rsidRDefault="004B375D" w:rsidP="00FA2663">
            <w:pPr>
              <w:pStyle w:val="NormalWeb"/>
              <w:jc w:val="center"/>
            </w:pPr>
            <w:r>
              <w:t>0</w:t>
            </w:r>
          </w:p>
        </w:tc>
        <w:tc>
          <w:tcPr>
            <w:tcW w:w="810" w:type="dxa"/>
            <w:hideMark/>
          </w:tcPr>
          <w:p w14:paraId="7720A587" w14:textId="77777777" w:rsidR="004B375D" w:rsidRDefault="004B375D" w:rsidP="00FA2663">
            <w:pPr>
              <w:pStyle w:val="NormalWeb"/>
              <w:jc w:val="center"/>
            </w:pPr>
            <w:r>
              <w:t>7</w:t>
            </w:r>
          </w:p>
        </w:tc>
        <w:tc>
          <w:tcPr>
            <w:tcW w:w="811" w:type="dxa"/>
            <w:hideMark/>
          </w:tcPr>
          <w:p w14:paraId="3A7B1AF0" w14:textId="77777777" w:rsidR="004B375D" w:rsidRDefault="004B375D" w:rsidP="00FA2663">
            <w:pPr>
              <w:pStyle w:val="NormalWeb"/>
              <w:jc w:val="center"/>
            </w:pPr>
            <w:r>
              <w:t>20</w:t>
            </w:r>
          </w:p>
        </w:tc>
        <w:tc>
          <w:tcPr>
            <w:tcW w:w="1260" w:type="dxa"/>
            <w:hideMark/>
          </w:tcPr>
          <w:p w14:paraId="1FC53C6F" w14:textId="77777777" w:rsidR="004B375D" w:rsidRDefault="004B375D" w:rsidP="00FA2663">
            <w:pPr>
              <w:pStyle w:val="NormalWeb"/>
              <w:jc w:val="center"/>
            </w:pPr>
            <w:r>
              <w:t>91</w:t>
            </w:r>
          </w:p>
        </w:tc>
      </w:tr>
      <w:tr w:rsidR="004B375D" w14:paraId="3CC1A645"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736F1FE" w14:textId="77777777" w:rsidR="004B375D" w:rsidRDefault="004B375D" w:rsidP="00FA2663">
            <w:pPr>
              <w:pStyle w:val="NormalWeb"/>
            </w:pPr>
            <w:r>
              <w:t>Local</w:t>
            </w:r>
          </w:p>
        </w:tc>
        <w:tc>
          <w:tcPr>
            <w:tcW w:w="810" w:type="dxa"/>
            <w:hideMark/>
          </w:tcPr>
          <w:p w14:paraId="01EE70F9" w14:textId="77777777" w:rsidR="004B375D" w:rsidRDefault="004B375D" w:rsidP="00FA2663">
            <w:pPr>
              <w:pStyle w:val="NormalWeb"/>
              <w:jc w:val="center"/>
            </w:pPr>
            <w:r>
              <w:t>0</w:t>
            </w:r>
          </w:p>
        </w:tc>
        <w:tc>
          <w:tcPr>
            <w:tcW w:w="811" w:type="dxa"/>
            <w:hideMark/>
          </w:tcPr>
          <w:p w14:paraId="3370AFD0" w14:textId="77777777" w:rsidR="004B375D" w:rsidRDefault="004B375D" w:rsidP="00FA2663">
            <w:pPr>
              <w:pStyle w:val="NormalWeb"/>
              <w:jc w:val="center"/>
            </w:pPr>
            <w:r>
              <w:t>2,159</w:t>
            </w:r>
          </w:p>
        </w:tc>
        <w:tc>
          <w:tcPr>
            <w:tcW w:w="810" w:type="dxa"/>
            <w:hideMark/>
          </w:tcPr>
          <w:p w14:paraId="0515909E" w14:textId="77777777" w:rsidR="004B375D" w:rsidRDefault="004B375D" w:rsidP="00FA2663">
            <w:pPr>
              <w:pStyle w:val="NormalWeb"/>
              <w:jc w:val="center"/>
            </w:pPr>
            <w:r>
              <w:t>0</w:t>
            </w:r>
          </w:p>
        </w:tc>
        <w:tc>
          <w:tcPr>
            <w:tcW w:w="811" w:type="dxa"/>
            <w:hideMark/>
          </w:tcPr>
          <w:p w14:paraId="27599D8B" w14:textId="77777777" w:rsidR="004B375D" w:rsidRDefault="004B375D" w:rsidP="00FA2663">
            <w:pPr>
              <w:pStyle w:val="NormalWeb"/>
              <w:jc w:val="center"/>
            </w:pPr>
            <w:r>
              <w:t>31</w:t>
            </w:r>
          </w:p>
        </w:tc>
        <w:tc>
          <w:tcPr>
            <w:tcW w:w="810" w:type="dxa"/>
            <w:hideMark/>
          </w:tcPr>
          <w:p w14:paraId="33FDB46A" w14:textId="77777777" w:rsidR="004B375D" w:rsidRDefault="004B375D" w:rsidP="00FA2663">
            <w:pPr>
              <w:pStyle w:val="NormalWeb"/>
              <w:jc w:val="center"/>
            </w:pPr>
            <w:r>
              <w:t>21</w:t>
            </w:r>
          </w:p>
        </w:tc>
        <w:tc>
          <w:tcPr>
            <w:tcW w:w="811" w:type="dxa"/>
            <w:hideMark/>
          </w:tcPr>
          <w:p w14:paraId="26FF14F6" w14:textId="77777777" w:rsidR="004B375D" w:rsidRDefault="004B375D" w:rsidP="00FA2663">
            <w:pPr>
              <w:pStyle w:val="NormalWeb"/>
              <w:jc w:val="center"/>
            </w:pPr>
            <w:r>
              <w:t>0</w:t>
            </w:r>
          </w:p>
        </w:tc>
        <w:tc>
          <w:tcPr>
            <w:tcW w:w="810" w:type="dxa"/>
            <w:hideMark/>
          </w:tcPr>
          <w:p w14:paraId="22D3DBAA" w14:textId="77777777" w:rsidR="004B375D" w:rsidRDefault="004B375D" w:rsidP="00FA2663">
            <w:pPr>
              <w:pStyle w:val="NormalWeb"/>
              <w:jc w:val="center"/>
            </w:pPr>
            <w:r>
              <w:t>145</w:t>
            </w:r>
          </w:p>
        </w:tc>
        <w:tc>
          <w:tcPr>
            <w:tcW w:w="811" w:type="dxa"/>
            <w:hideMark/>
          </w:tcPr>
          <w:p w14:paraId="349EC85F" w14:textId="77777777" w:rsidR="004B375D" w:rsidRDefault="004B375D" w:rsidP="00FA2663">
            <w:pPr>
              <w:pStyle w:val="NormalWeb"/>
              <w:jc w:val="center"/>
            </w:pPr>
            <w:r>
              <w:t>0</w:t>
            </w:r>
          </w:p>
        </w:tc>
        <w:tc>
          <w:tcPr>
            <w:tcW w:w="1260" w:type="dxa"/>
            <w:hideMark/>
          </w:tcPr>
          <w:p w14:paraId="4A79C685" w14:textId="77777777" w:rsidR="004B375D" w:rsidRDefault="004B375D" w:rsidP="00FA2663">
            <w:pPr>
              <w:pStyle w:val="NormalWeb"/>
              <w:jc w:val="center"/>
            </w:pPr>
            <w:r>
              <w:t>2,356</w:t>
            </w:r>
          </w:p>
        </w:tc>
      </w:tr>
      <w:tr w:rsidR="004B375D" w14:paraId="0EA3447C" w14:textId="77777777" w:rsidTr="00FA2663">
        <w:tblPrEx>
          <w:tblCellMar>
            <w:top w:w="57" w:type="dxa"/>
            <w:left w:w="57" w:type="dxa"/>
            <w:bottom w:w="57" w:type="dxa"/>
            <w:right w:w="57" w:type="dxa"/>
          </w:tblCellMar>
        </w:tblPrEx>
        <w:tc>
          <w:tcPr>
            <w:tcW w:w="0" w:type="auto"/>
            <w:hideMark/>
          </w:tcPr>
          <w:p w14:paraId="6C14899E" w14:textId="77777777" w:rsidR="004B375D" w:rsidRPr="0086710B" w:rsidRDefault="004B375D" w:rsidP="0086710B">
            <w:pPr>
              <w:pStyle w:val="NormalWeb"/>
              <w:ind w:left="284"/>
              <w:rPr>
                <w:i/>
                <w:iCs/>
              </w:rPr>
            </w:pPr>
            <w:r w:rsidRPr="0086710B">
              <w:rPr>
                <w:i/>
                <w:iCs/>
              </w:rPr>
              <w:t>source known</w:t>
            </w:r>
          </w:p>
        </w:tc>
        <w:tc>
          <w:tcPr>
            <w:tcW w:w="810" w:type="dxa"/>
            <w:hideMark/>
          </w:tcPr>
          <w:p w14:paraId="6AF06975" w14:textId="77777777" w:rsidR="004B375D" w:rsidRPr="0086710B" w:rsidRDefault="004B375D" w:rsidP="00FA2663">
            <w:pPr>
              <w:pStyle w:val="NormalWeb"/>
              <w:jc w:val="center"/>
              <w:rPr>
                <w:i/>
                <w:iCs/>
              </w:rPr>
            </w:pPr>
            <w:r w:rsidRPr="0086710B">
              <w:rPr>
                <w:i/>
                <w:iCs/>
              </w:rPr>
              <w:t>0</w:t>
            </w:r>
          </w:p>
        </w:tc>
        <w:tc>
          <w:tcPr>
            <w:tcW w:w="811" w:type="dxa"/>
            <w:hideMark/>
          </w:tcPr>
          <w:p w14:paraId="240A9F79" w14:textId="77777777" w:rsidR="004B375D" w:rsidRPr="0086710B" w:rsidRDefault="004B375D" w:rsidP="00FA2663">
            <w:pPr>
              <w:pStyle w:val="NormalWeb"/>
              <w:jc w:val="center"/>
              <w:rPr>
                <w:i/>
                <w:iCs/>
              </w:rPr>
            </w:pPr>
            <w:r w:rsidRPr="0086710B">
              <w:rPr>
                <w:i/>
                <w:iCs/>
              </w:rPr>
              <w:t>1,364</w:t>
            </w:r>
          </w:p>
        </w:tc>
        <w:tc>
          <w:tcPr>
            <w:tcW w:w="810" w:type="dxa"/>
            <w:hideMark/>
          </w:tcPr>
          <w:p w14:paraId="4694A313" w14:textId="77777777" w:rsidR="004B375D" w:rsidRPr="0086710B" w:rsidRDefault="004B375D" w:rsidP="00FA2663">
            <w:pPr>
              <w:pStyle w:val="NormalWeb"/>
              <w:jc w:val="center"/>
              <w:rPr>
                <w:i/>
                <w:iCs/>
              </w:rPr>
            </w:pPr>
            <w:r w:rsidRPr="0086710B">
              <w:rPr>
                <w:i/>
                <w:iCs/>
              </w:rPr>
              <w:t>0</w:t>
            </w:r>
          </w:p>
        </w:tc>
        <w:tc>
          <w:tcPr>
            <w:tcW w:w="811" w:type="dxa"/>
            <w:hideMark/>
          </w:tcPr>
          <w:p w14:paraId="4F40D9A2" w14:textId="77777777" w:rsidR="004B375D" w:rsidRPr="0086710B" w:rsidRDefault="004B375D" w:rsidP="00FA2663">
            <w:pPr>
              <w:pStyle w:val="NormalWeb"/>
              <w:jc w:val="center"/>
              <w:rPr>
                <w:i/>
                <w:iCs/>
              </w:rPr>
            </w:pPr>
            <w:r w:rsidRPr="0086710B">
              <w:rPr>
                <w:i/>
                <w:iCs/>
              </w:rPr>
              <w:t>31</w:t>
            </w:r>
          </w:p>
        </w:tc>
        <w:tc>
          <w:tcPr>
            <w:tcW w:w="810" w:type="dxa"/>
            <w:hideMark/>
          </w:tcPr>
          <w:p w14:paraId="05E9EB81" w14:textId="77777777" w:rsidR="004B375D" w:rsidRPr="0086710B" w:rsidRDefault="004B375D" w:rsidP="00FA2663">
            <w:pPr>
              <w:pStyle w:val="NormalWeb"/>
              <w:jc w:val="center"/>
              <w:rPr>
                <w:i/>
                <w:iCs/>
              </w:rPr>
            </w:pPr>
            <w:r w:rsidRPr="0086710B">
              <w:rPr>
                <w:i/>
                <w:iCs/>
              </w:rPr>
              <w:t>20</w:t>
            </w:r>
          </w:p>
        </w:tc>
        <w:tc>
          <w:tcPr>
            <w:tcW w:w="811" w:type="dxa"/>
            <w:hideMark/>
          </w:tcPr>
          <w:p w14:paraId="79FC6A8F" w14:textId="77777777" w:rsidR="004B375D" w:rsidRPr="0086710B" w:rsidRDefault="004B375D" w:rsidP="00FA2663">
            <w:pPr>
              <w:pStyle w:val="NormalWeb"/>
              <w:jc w:val="center"/>
              <w:rPr>
                <w:i/>
                <w:iCs/>
              </w:rPr>
            </w:pPr>
            <w:r w:rsidRPr="0086710B">
              <w:rPr>
                <w:i/>
                <w:iCs/>
              </w:rPr>
              <w:t>0</w:t>
            </w:r>
          </w:p>
        </w:tc>
        <w:tc>
          <w:tcPr>
            <w:tcW w:w="810" w:type="dxa"/>
            <w:hideMark/>
          </w:tcPr>
          <w:p w14:paraId="6390E0B7" w14:textId="77777777" w:rsidR="004B375D" w:rsidRPr="0086710B" w:rsidRDefault="004B375D" w:rsidP="00FA2663">
            <w:pPr>
              <w:pStyle w:val="NormalWeb"/>
              <w:jc w:val="center"/>
              <w:rPr>
                <w:i/>
                <w:iCs/>
              </w:rPr>
            </w:pPr>
            <w:r w:rsidRPr="0086710B">
              <w:rPr>
                <w:i/>
                <w:iCs/>
              </w:rPr>
              <w:t>145</w:t>
            </w:r>
          </w:p>
        </w:tc>
        <w:tc>
          <w:tcPr>
            <w:tcW w:w="811" w:type="dxa"/>
            <w:hideMark/>
          </w:tcPr>
          <w:p w14:paraId="4809B48E" w14:textId="77777777" w:rsidR="004B375D" w:rsidRPr="0086710B" w:rsidRDefault="004B375D" w:rsidP="00FA2663">
            <w:pPr>
              <w:pStyle w:val="NormalWeb"/>
              <w:jc w:val="center"/>
              <w:rPr>
                <w:i/>
                <w:iCs/>
              </w:rPr>
            </w:pPr>
            <w:r w:rsidRPr="0086710B">
              <w:rPr>
                <w:i/>
                <w:iCs/>
              </w:rPr>
              <w:t>0</w:t>
            </w:r>
          </w:p>
        </w:tc>
        <w:tc>
          <w:tcPr>
            <w:tcW w:w="1260" w:type="dxa"/>
            <w:hideMark/>
          </w:tcPr>
          <w:p w14:paraId="376090E4" w14:textId="77777777" w:rsidR="004B375D" w:rsidRPr="0086710B" w:rsidRDefault="004B375D" w:rsidP="00FA2663">
            <w:pPr>
              <w:pStyle w:val="NormalWeb"/>
              <w:jc w:val="center"/>
              <w:rPr>
                <w:i/>
                <w:iCs/>
              </w:rPr>
            </w:pPr>
            <w:r w:rsidRPr="0086710B">
              <w:rPr>
                <w:i/>
                <w:iCs/>
              </w:rPr>
              <w:t>1,560</w:t>
            </w:r>
          </w:p>
        </w:tc>
      </w:tr>
      <w:tr w:rsidR="004B375D" w14:paraId="2D077489"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88711BB" w14:textId="77777777" w:rsidR="004B375D" w:rsidRPr="0086710B" w:rsidRDefault="004B375D" w:rsidP="0086710B">
            <w:pPr>
              <w:pStyle w:val="NormalWeb"/>
              <w:ind w:left="284"/>
              <w:rPr>
                <w:i/>
                <w:iCs/>
              </w:rPr>
            </w:pPr>
            <w:r w:rsidRPr="0086710B">
              <w:rPr>
                <w:i/>
                <w:iCs/>
              </w:rPr>
              <w:t>source unknown</w:t>
            </w:r>
          </w:p>
        </w:tc>
        <w:tc>
          <w:tcPr>
            <w:tcW w:w="810" w:type="dxa"/>
            <w:hideMark/>
          </w:tcPr>
          <w:p w14:paraId="60BFEDC0" w14:textId="77777777" w:rsidR="004B375D" w:rsidRPr="0086710B" w:rsidRDefault="004B375D" w:rsidP="00FA2663">
            <w:pPr>
              <w:pStyle w:val="NormalWeb"/>
              <w:jc w:val="center"/>
              <w:rPr>
                <w:i/>
                <w:iCs/>
              </w:rPr>
            </w:pPr>
            <w:r w:rsidRPr="0086710B">
              <w:rPr>
                <w:i/>
                <w:iCs/>
              </w:rPr>
              <w:t>0</w:t>
            </w:r>
          </w:p>
        </w:tc>
        <w:tc>
          <w:tcPr>
            <w:tcW w:w="811" w:type="dxa"/>
            <w:hideMark/>
          </w:tcPr>
          <w:p w14:paraId="3E10CF25" w14:textId="77777777" w:rsidR="004B375D" w:rsidRPr="0086710B" w:rsidRDefault="004B375D" w:rsidP="00FA2663">
            <w:pPr>
              <w:pStyle w:val="NormalWeb"/>
              <w:jc w:val="center"/>
              <w:rPr>
                <w:i/>
                <w:iCs/>
              </w:rPr>
            </w:pPr>
            <w:r w:rsidRPr="0086710B">
              <w:rPr>
                <w:i/>
                <w:iCs/>
              </w:rPr>
              <w:t>12</w:t>
            </w:r>
          </w:p>
        </w:tc>
        <w:tc>
          <w:tcPr>
            <w:tcW w:w="810" w:type="dxa"/>
            <w:hideMark/>
          </w:tcPr>
          <w:p w14:paraId="25E7839A" w14:textId="77777777" w:rsidR="004B375D" w:rsidRPr="0086710B" w:rsidRDefault="004B375D" w:rsidP="00FA2663">
            <w:pPr>
              <w:pStyle w:val="NormalWeb"/>
              <w:jc w:val="center"/>
              <w:rPr>
                <w:i/>
                <w:iCs/>
              </w:rPr>
            </w:pPr>
            <w:r w:rsidRPr="0086710B">
              <w:rPr>
                <w:i/>
                <w:iCs/>
              </w:rPr>
              <w:t>0</w:t>
            </w:r>
          </w:p>
        </w:tc>
        <w:tc>
          <w:tcPr>
            <w:tcW w:w="811" w:type="dxa"/>
            <w:hideMark/>
          </w:tcPr>
          <w:p w14:paraId="3DB07786" w14:textId="77777777" w:rsidR="004B375D" w:rsidRPr="0086710B" w:rsidRDefault="004B375D" w:rsidP="00FA2663">
            <w:pPr>
              <w:pStyle w:val="NormalWeb"/>
              <w:jc w:val="center"/>
              <w:rPr>
                <w:i/>
                <w:iCs/>
              </w:rPr>
            </w:pPr>
            <w:r w:rsidRPr="0086710B">
              <w:rPr>
                <w:i/>
                <w:iCs/>
              </w:rPr>
              <w:t>0</w:t>
            </w:r>
          </w:p>
        </w:tc>
        <w:tc>
          <w:tcPr>
            <w:tcW w:w="810" w:type="dxa"/>
            <w:hideMark/>
          </w:tcPr>
          <w:p w14:paraId="35E61B95" w14:textId="77777777" w:rsidR="004B375D" w:rsidRPr="0086710B" w:rsidRDefault="004B375D" w:rsidP="00FA2663">
            <w:pPr>
              <w:pStyle w:val="NormalWeb"/>
              <w:jc w:val="center"/>
              <w:rPr>
                <w:i/>
                <w:iCs/>
              </w:rPr>
            </w:pPr>
            <w:r w:rsidRPr="0086710B">
              <w:rPr>
                <w:i/>
                <w:iCs/>
              </w:rPr>
              <w:t>0</w:t>
            </w:r>
          </w:p>
        </w:tc>
        <w:tc>
          <w:tcPr>
            <w:tcW w:w="811" w:type="dxa"/>
            <w:hideMark/>
          </w:tcPr>
          <w:p w14:paraId="57BCFD0B" w14:textId="77777777" w:rsidR="004B375D" w:rsidRPr="0086710B" w:rsidRDefault="004B375D" w:rsidP="00FA2663">
            <w:pPr>
              <w:pStyle w:val="NormalWeb"/>
              <w:jc w:val="center"/>
              <w:rPr>
                <w:i/>
                <w:iCs/>
              </w:rPr>
            </w:pPr>
            <w:r w:rsidRPr="0086710B">
              <w:rPr>
                <w:i/>
                <w:iCs/>
              </w:rPr>
              <w:t>0</w:t>
            </w:r>
          </w:p>
        </w:tc>
        <w:tc>
          <w:tcPr>
            <w:tcW w:w="810" w:type="dxa"/>
            <w:hideMark/>
          </w:tcPr>
          <w:p w14:paraId="084467A4" w14:textId="77777777" w:rsidR="004B375D" w:rsidRPr="0086710B" w:rsidRDefault="004B375D" w:rsidP="00FA2663">
            <w:pPr>
              <w:pStyle w:val="NormalWeb"/>
              <w:jc w:val="center"/>
              <w:rPr>
                <w:i/>
                <w:iCs/>
              </w:rPr>
            </w:pPr>
            <w:r w:rsidRPr="0086710B">
              <w:rPr>
                <w:i/>
                <w:iCs/>
              </w:rPr>
              <w:t>0</w:t>
            </w:r>
          </w:p>
        </w:tc>
        <w:tc>
          <w:tcPr>
            <w:tcW w:w="811" w:type="dxa"/>
            <w:hideMark/>
          </w:tcPr>
          <w:p w14:paraId="4348AD7C" w14:textId="77777777" w:rsidR="004B375D" w:rsidRPr="0086710B" w:rsidRDefault="004B375D" w:rsidP="00FA2663">
            <w:pPr>
              <w:pStyle w:val="NormalWeb"/>
              <w:jc w:val="center"/>
              <w:rPr>
                <w:i/>
                <w:iCs/>
              </w:rPr>
            </w:pPr>
            <w:r w:rsidRPr="0086710B">
              <w:rPr>
                <w:i/>
                <w:iCs/>
              </w:rPr>
              <w:t>0</w:t>
            </w:r>
          </w:p>
        </w:tc>
        <w:tc>
          <w:tcPr>
            <w:tcW w:w="1260" w:type="dxa"/>
            <w:hideMark/>
          </w:tcPr>
          <w:p w14:paraId="56343CA5" w14:textId="77777777" w:rsidR="004B375D" w:rsidRPr="0086710B" w:rsidRDefault="004B375D" w:rsidP="00FA2663">
            <w:pPr>
              <w:pStyle w:val="NormalWeb"/>
              <w:jc w:val="center"/>
              <w:rPr>
                <w:i/>
                <w:iCs/>
              </w:rPr>
            </w:pPr>
            <w:r w:rsidRPr="0086710B">
              <w:rPr>
                <w:i/>
                <w:iCs/>
              </w:rPr>
              <w:t>12</w:t>
            </w:r>
          </w:p>
        </w:tc>
      </w:tr>
      <w:tr w:rsidR="004B375D" w14:paraId="5C794024" w14:textId="77777777" w:rsidTr="00FA2663">
        <w:tblPrEx>
          <w:tblCellMar>
            <w:top w:w="57" w:type="dxa"/>
            <w:left w:w="57" w:type="dxa"/>
            <w:bottom w:w="57" w:type="dxa"/>
            <w:right w:w="57" w:type="dxa"/>
          </w:tblCellMar>
        </w:tblPrEx>
        <w:tc>
          <w:tcPr>
            <w:tcW w:w="0" w:type="auto"/>
            <w:hideMark/>
          </w:tcPr>
          <w:p w14:paraId="120E8982" w14:textId="77777777" w:rsidR="004B375D" w:rsidRPr="0086710B" w:rsidRDefault="004B375D" w:rsidP="0086710B">
            <w:pPr>
              <w:pStyle w:val="NormalWeb"/>
              <w:ind w:left="284"/>
              <w:rPr>
                <w:i/>
                <w:iCs/>
              </w:rPr>
            </w:pPr>
            <w:r w:rsidRPr="0086710B">
              <w:rPr>
                <w:i/>
                <w:iCs/>
              </w:rPr>
              <w:t>interstate, source known</w:t>
            </w:r>
          </w:p>
        </w:tc>
        <w:tc>
          <w:tcPr>
            <w:tcW w:w="810" w:type="dxa"/>
            <w:hideMark/>
          </w:tcPr>
          <w:p w14:paraId="52BDFC9E" w14:textId="77777777" w:rsidR="004B375D" w:rsidRPr="0086710B" w:rsidRDefault="004B375D" w:rsidP="00FA2663">
            <w:pPr>
              <w:pStyle w:val="NormalWeb"/>
              <w:jc w:val="center"/>
              <w:rPr>
                <w:i/>
                <w:iCs/>
              </w:rPr>
            </w:pPr>
            <w:r w:rsidRPr="0086710B">
              <w:rPr>
                <w:i/>
                <w:iCs/>
              </w:rPr>
              <w:t>0</w:t>
            </w:r>
          </w:p>
        </w:tc>
        <w:tc>
          <w:tcPr>
            <w:tcW w:w="811" w:type="dxa"/>
            <w:hideMark/>
          </w:tcPr>
          <w:p w14:paraId="5D9122AC" w14:textId="77777777" w:rsidR="004B375D" w:rsidRPr="0086710B" w:rsidRDefault="004B375D" w:rsidP="00FA2663">
            <w:pPr>
              <w:pStyle w:val="NormalWeb"/>
              <w:jc w:val="center"/>
              <w:rPr>
                <w:i/>
                <w:iCs/>
              </w:rPr>
            </w:pPr>
            <w:r w:rsidRPr="0086710B">
              <w:rPr>
                <w:i/>
                <w:iCs/>
              </w:rPr>
              <w:t>0</w:t>
            </w:r>
          </w:p>
        </w:tc>
        <w:tc>
          <w:tcPr>
            <w:tcW w:w="810" w:type="dxa"/>
            <w:hideMark/>
          </w:tcPr>
          <w:p w14:paraId="23EC0231" w14:textId="77777777" w:rsidR="004B375D" w:rsidRPr="0086710B" w:rsidRDefault="004B375D" w:rsidP="00FA2663">
            <w:pPr>
              <w:pStyle w:val="NormalWeb"/>
              <w:jc w:val="center"/>
              <w:rPr>
                <w:i/>
                <w:iCs/>
              </w:rPr>
            </w:pPr>
            <w:r w:rsidRPr="0086710B">
              <w:rPr>
                <w:i/>
                <w:iCs/>
              </w:rPr>
              <w:t>0</w:t>
            </w:r>
          </w:p>
        </w:tc>
        <w:tc>
          <w:tcPr>
            <w:tcW w:w="811" w:type="dxa"/>
            <w:hideMark/>
          </w:tcPr>
          <w:p w14:paraId="301CE63F" w14:textId="77777777" w:rsidR="004B375D" w:rsidRPr="0086710B" w:rsidRDefault="004B375D" w:rsidP="00FA2663">
            <w:pPr>
              <w:pStyle w:val="NormalWeb"/>
              <w:jc w:val="center"/>
              <w:rPr>
                <w:i/>
                <w:iCs/>
              </w:rPr>
            </w:pPr>
            <w:r w:rsidRPr="0086710B">
              <w:rPr>
                <w:i/>
                <w:iCs/>
              </w:rPr>
              <w:t>0</w:t>
            </w:r>
          </w:p>
        </w:tc>
        <w:tc>
          <w:tcPr>
            <w:tcW w:w="810" w:type="dxa"/>
            <w:hideMark/>
          </w:tcPr>
          <w:p w14:paraId="5FB9CD8F" w14:textId="77777777" w:rsidR="004B375D" w:rsidRPr="0086710B" w:rsidRDefault="004B375D" w:rsidP="00FA2663">
            <w:pPr>
              <w:pStyle w:val="NormalWeb"/>
              <w:jc w:val="center"/>
              <w:rPr>
                <w:i/>
                <w:iCs/>
              </w:rPr>
            </w:pPr>
            <w:r w:rsidRPr="0086710B">
              <w:rPr>
                <w:i/>
                <w:iCs/>
              </w:rPr>
              <w:t>0</w:t>
            </w:r>
          </w:p>
        </w:tc>
        <w:tc>
          <w:tcPr>
            <w:tcW w:w="811" w:type="dxa"/>
            <w:hideMark/>
          </w:tcPr>
          <w:p w14:paraId="760FDC82" w14:textId="77777777" w:rsidR="004B375D" w:rsidRPr="0086710B" w:rsidRDefault="004B375D" w:rsidP="00FA2663">
            <w:pPr>
              <w:pStyle w:val="NormalWeb"/>
              <w:jc w:val="center"/>
              <w:rPr>
                <w:i/>
                <w:iCs/>
              </w:rPr>
            </w:pPr>
            <w:r w:rsidRPr="0086710B">
              <w:rPr>
                <w:i/>
                <w:iCs/>
              </w:rPr>
              <w:t>0</w:t>
            </w:r>
          </w:p>
        </w:tc>
        <w:tc>
          <w:tcPr>
            <w:tcW w:w="810" w:type="dxa"/>
            <w:hideMark/>
          </w:tcPr>
          <w:p w14:paraId="598B6734" w14:textId="77777777" w:rsidR="004B375D" w:rsidRPr="0086710B" w:rsidRDefault="004B375D" w:rsidP="00FA2663">
            <w:pPr>
              <w:pStyle w:val="NormalWeb"/>
              <w:jc w:val="center"/>
              <w:rPr>
                <w:i/>
                <w:iCs/>
              </w:rPr>
            </w:pPr>
            <w:r w:rsidRPr="0086710B">
              <w:rPr>
                <w:i/>
                <w:iCs/>
              </w:rPr>
              <w:t>0</w:t>
            </w:r>
          </w:p>
        </w:tc>
        <w:tc>
          <w:tcPr>
            <w:tcW w:w="811" w:type="dxa"/>
            <w:hideMark/>
          </w:tcPr>
          <w:p w14:paraId="54031905" w14:textId="77777777" w:rsidR="004B375D" w:rsidRPr="0086710B" w:rsidRDefault="004B375D" w:rsidP="00FA2663">
            <w:pPr>
              <w:pStyle w:val="NormalWeb"/>
              <w:jc w:val="center"/>
              <w:rPr>
                <w:i/>
                <w:iCs/>
              </w:rPr>
            </w:pPr>
            <w:r w:rsidRPr="0086710B">
              <w:rPr>
                <w:i/>
                <w:iCs/>
              </w:rPr>
              <w:t>0</w:t>
            </w:r>
          </w:p>
        </w:tc>
        <w:tc>
          <w:tcPr>
            <w:tcW w:w="1260" w:type="dxa"/>
            <w:hideMark/>
          </w:tcPr>
          <w:p w14:paraId="15E3BA92" w14:textId="77777777" w:rsidR="004B375D" w:rsidRPr="0086710B" w:rsidRDefault="004B375D" w:rsidP="00FA2663">
            <w:pPr>
              <w:pStyle w:val="NormalWeb"/>
              <w:jc w:val="center"/>
              <w:rPr>
                <w:i/>
                <w:iCs/>
              </w:rPr>
            </w:pPr>
            <w:r w:rsidRPr="0086710B">
              <w:rPr>
                <w:i/>
                <w:iCs/>
              </w:rPr>
              <w:t>0</w:t>
            </w:r>
          </w:p>
        </w:tc>
      </w:tr>
      <w:tr w:rsidR="004B375D" w14:paraId="267F7CD4"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29E7B66" w14:textId="77777777" w:rsidR="004B375D" w:rsidRPr="0086710B" w:rsidRDefault="004B375D" w:rsidP="0086710B">
            <w:pPr>
              <w:pStyle w:val="NormalWeb"/>
              <w:ind w:left="284"/>
              <w:rPr>
                <w:i/>
                <w:iCs/>
              </w:rPr>
            </w:pPr>
            <w:r w:rsidRPr="0086710B">
              <w:rPr>
                <w:i/>
                <w:iCs/>
              </w:rPr>
              <w:t>interstate, source unknown</w:t>
            </w:r>
          </w:p>
        </w:tc>
        <w:tc>
          <w:tcPr>
            <w:tcW w:w="810" w:type="dxa"/>
            <w:hideMark/>
          </w:tcPr>
          <w:p w14:paraId="04F0B520" w14:textId="77777777" w:rsidR="004B375D" w:rsidRPr="0086710B" w:rsidRDefault="004B375D" w:rsidP="00FA2663">
            <w:pPr>
              <w:pStyle w:val="NormalWeb"/>
              <w:jc w:val="center"/>
              <w:rPr>
                <w:i/>
                <w:iCs/>
              </w:rPr>
            </w:pPr>
            <w:r w:rsidRPr="0086710B">
              <w:rPr>
                <w:i/>
                <w:iCs/>
              </w:rPr>
              <w:t>0</w:t>
            </w:r>
          </w:p>
        </w:tc>
        <w:tc>
          <w:tcPr>
            <w:tcW w:w="811" w:type="dxa"/>
            <w:hideMark/>
          </w:tcPr>
          <w:p w14:paraId="21614187" w14:textId="77777777" w:rsidR="004B375D" w:rsidRPr="0086710B" w:rsidRDefault="004B375D" w:rsidP="00FA2663">
            <w:pPr>
              <w:pStyle w:val="NormalWeb"/>
              <w:jc w:val="center"/>
              <w:rPr>
                <w:i/>
                <w:iCs/>
              </w:rPr>
            </w:pPr>
            <w:r w:rsidRPr="0086710B">
              <w:rPr>
                <w:i/>
                <w:iCs/>
              </w:rPr>
              <w:t>0</w:t>
            </w:r>
          </w:p>
        </w:tc>
        <w:tc>
          <w:tcPr>
            <w:tcW w:w="810" w:type="dxa"/>
            <w:hideMark/>
          </w:tcPr>
          <w:p w14:paraId="2B1B94A9" w14:textId="77777777" w:rsidR="004B375D" w:rsidRPr="0086710B" w:rsidRDefault="004B375D" w:rsidP="00FA2663">
            <w:pPr>
              <w:pStyle w:val="NormalWeb"/>
              <w:jc w:val="center"/>
              <w:rPr>
                <w:i/>
                <w:iCs/>
              </w:rPr>
            </w:pPr>
            <w:r w:rsidRPr="0086710B">
              <w:rPr>
                <w:i/>
                <w:iCs/>
              </w:rPr>
              <w:t>0</w:t>
            </w:r>
          </w:p>
        </w:tc>
        <w:tc>
          <w:tcPr>
            <w:tcW w:w="811" w:type="dxa"/>
            <w:hideMark/>
          </w:tcPr>
          <w:p w14:paraId="5C22EF36" w14:textId="77777777" w:rsidR="004B375D" w:rsidRPr="0086710B" w:rsidRDefault="004B375D" w:rsidP="00FA2663">
            <w:pPr>
              <w:pStyle w:val="NormalWeb"/>
              <w:jc w:val="center"/>
              <w:rPr>
                <w:i/>
                <w:iCs/>
              </w:rPr>
            </w:pPr>
            <w:r w:rsidRPr="0086710B">
              <w:rPr>
                <w:i/>
                <w:iCs/>
              </w:rPr>
              <w:t>0</w:t>
            </w:r>
          </w:p>
        </w:tc>
        <w:tc>
          <w:tcPr>
            <w:tcW w:w="810" w:type="dxa"/>
            <w:hideMark/>
          </w:tcPr>
          <w:p w14:paraId="433FBFF6" w14:textId="77777777" w:rsidR="004B375D" w:rsidRPr="0086710B" w:rsidRDefault="004B375D" w:rsidP="00FA2663">
            <w:pPr>
              <w:pStyle w:val="NormalWeb"/>
              <w:jc w:val="center"/>
              <w:rPr>
                <w:i/>
                <w:iCs/>
              </w:rPr>
            </w:pPr>
            <w:r w:rsidRPr="0086710B">
              <w:rPr>
                <w:i/>
                <w:iCs/>
              </w:rPr>
              <w:t>1</w:t>
            </w:r>
          </w:p>
        </w:tc>
        <w:tc>
          <w:tcPr>
            <w:tcW w:w="811" w:type="dxa"/>
            <w:hideMark/>
          </w:tcPr>
          <w:p w14:paraId="7FB415EF" w14:textId="77777777" w:rsidR="004B375D" w:rsidRPr="0086710B" w:rsidRDefault="004B375D" w:rsidP="00FA2663">
            <w:pPr>
              <w:pStyle w:val="NormalWeb"/>
              <w:jc w:val="center"/>
              <w:rPr>
                <w:i/>
                <w:iCs/>
              </w:rPr>
            </w:pPr>
            <w:r w:rsidRPr="0086710B">
              <w:rPr>
                <w:i/>
                <w:iCs/>
              </w:rPr>
              <w:t>0</w:t>
            </w:r>
          </w:p>
        </w:tc>
        <w:tc>
          <w:tcPr>
            <w:tcW w:w="810" w:type="dxa"/>
            <w:hideMark/>
          </w:tcPr>
          <w:p w14:paraId="3ABA5C4C" w14:textId="77777777" w:rsidR="004B375D" w:rsidRPr="0086710B" w:rsidRDefault="004B375D" w:rsidP="00FA2663">
            <w:pPr>
              <w:pStyle w:val="NormalWeb"/>
              <w:jc w:val="center"/>
              <w:rPr>
                <w:i/>
                <w:iCs/>
              </w:rPr>
            </w:pPr>
            <w:r w:rsidRPr="0086710B">
              <w:rPr>
                <w:i/>
                <w:iCs/>
              </w:rPr>
              <w:t>0</w:t>
            </w:r>
          </w:p>
        </w:tc>
        <w:tc>
          <w:tcPr>
            <w:tcW w:w="811" w:type="dxa"/>
            <w:hideMark/>
          </w:tcPr>
          <w:p w14:paraId="1A73ADCC" w14:textId="77777777" w:rsidR="004B375D" w:rsidRPr="0086710B" w:rsidRDefault="004B375D" w:rsidP="00FA2663">
            <w:pPr>
              <w:pStyle w:val="NormalWeb"/>
              <w:jc w:val="center"/>
              <w:rPr>
                <w:i/>
                <w:iCs/>
              </w:rPr>
            </w:pPr>
            <w:r w:rsidRPr="0086710B">
              <w:rPr>
                <w:i/>
                <w:iCs/>
              </w:rPr>
              <w:t>0</w:t>
            </w:r>
          </w:p>
        </w:tc>
        <w:tc>
          <w:tcPr>
            <w:tcW w:w="1260" w:type="dxa"/>
            <w:hideMark/>
          </w:tcPr>
          <w:p w14:paraId="62DF2AF2" w14:textId="77777777" w:rsidR="004B375D" w:rsidRPr="0086710B" w:rsidRDefault="004B375D" w:rsidP="00FA2663">
            <w:pPr>
              <w:pStyle w:val="NormalWeb"/>
              <w:jc w:val="center"/>
              <w:rPr>
                <w:i/>
                <w:iCs/>
              </w:rPr>
            </w:pPr>
            <w:r w:rsidRPr="0086710B">
              <w:rPr>
                <w:i/>
                <w:iCs/>
              </w:rPr>
              <w:t>1</w:t>
            </w:r>
          </w:p>
        </w:tc>
      </w:tr>
      <w:tr w:rsidR="004B375D" w14:paraId="067628C8" w14:textId="77777777" w:rsidTr="00FA2663">
        <w:tblPrEx>
          <w:tblCellMar>
            <w:top w:w="57" w:type="dxa"/>
            <w:left w:w="57" w:type="dxa"/>
            <w:bottom w:w="57" w:type="dxa"/>
            <w:right w:w="57" w:type="dxa"/>
          </w:tblCellMar>
        </w:tblPrEx>
        <w:tc>
          <w:tcPr>
            <w:tcW w:w="0" w:type="auto"/>
            <w:hideMark/>
          </w:tcPr>
          <w:p w14:paraId="03E48E9C" w14:textId="77777777" w:rsidR="004B375D" w:rsidRDefault="004B375D" w:rsidP="00FA2663">
            <w:pPr>
              <w:pStyle w:val="NormalWeb"/>
            </w:pPr>
            <w:r>
              <w:t>investigation ongoing</w:t>
            </w:r>
          </w:p>
        </w:tc>
        <w:tc>
          <w:tcPr>
            <w:tcW w:w="810" w:type="dxa"/>
            <w:hideMark/>
          </w:tcPr>
          <w:p w14:paraId="723FB5FC" w14:textId="77777777" w:rsidR="004B375D" w:rsidRDefault="004B375D" w:rsidP="00FA2663">
            <w:pPr>
              <w:pStyle w:val="NormalWeb"/>
              <w:jc w:val="center"/>
            </w:pPr>
            <w:r>
              <w:t>0</w:t>
            </w:r>
          </w:p>
        </w:tc>
        <w:tc>
          <w:tcPr>
            <w:tcW w:w="811" w:type="dxa"/>
            <w:hideMark/>
          </w:tcPr>
          <w:p w14:paraId="1135710C" w14:textId="77777777" w:rsidR="004B375D" w:rsidRDefault="004B375D" w:rsidP="00FA2663">
            <w:pPr>
              <w:pStyle w:val="NormalWeb"/>
              <w:jc w:val="center"/>
            </w:pPr>
            <w:r>
              <w:t>783</w:t>
            </w:r>
          </w:p>
        </w:tc>
        <w:tc>
          <w:tcPr>
            <w:tcW w:w="810" w:type="dxa"/>
            <w:hideMark/>
          </w:tcPr>
          <w:p w14:paraId="4A3E8D6F" w14:textId="77777777" w:rsidR="004B375D" w:rsidRDefault="004B375D" w:rsidP="00FA2663">
            <w:pPr>
              <w:pStyle w:val="NormalWeb"/>
              <w:jc w:val="center"/>
            </w:pPr>
            <w:r>
              <w:t>0</w:t>
            </w:r>
          </w:p>
        </w:tc>
        <w:tc>
          <w:tcPr>
            <w:tcW w:w="811" w:type="dxa"/>
            <w:hideMark/>
          </w:tcPr>
          <w:p w14:paraId="5CC4BE61" w14:textId="77777777" w:rsidR="004B375D" w:rsidRDefault="004B375D" w:rsidP="00FA2663">
            <w:pPr>
              <w:pStyle w:val="NormalWeb"/>
              <w:jc w:val="center"/>
            </w:pPr>
            <w:r>
              <w:t>0</w:t>
            </w:r>
          </w:p>
        </w:tc>
        <w:tc>
          <w:tcPr>
            <w:tcW w:w="810" w:type="dxa"/>
            <w:hideMark/>
          </w:tcPr>
          <w:p w14:paraId="02C86E07" w14:textId="77777777" w:rsidR="004B375D" w:rsidRDefault="004B375D" w:rsidP="00FA2663">
            <w:pPr>
              <w:pStyle w:val="NormalWeb"/>
              <w:jc w:val="center"/>
            </w:pPr>
            <w:r>
              <w:t>0</w:t>
            </w:r>
          </w:p>
        </w:tc>
        <w:tc>
          <w:tcPr>
            <w:tcW w:w="811" w:type="dxa"/>
            <w:hideMark/>
          </w:tcPr>
          <w:p w14:paraId="5E31AD67" w14:textId="77777777" w:rsidR="004B375D" w:rsidRDefault="004B375D" w:rsidP="00FA2663">
            <w:pPr>
              <w:pStyle w:val="NormalWeb"/>
              <w:jc w:val="center"/>
            </w:pPr>
            <w:r>
              <w:t>0</w:t>
            </w:r>
          </w:p>
        </w:tc>
        <w:tc>
          <w:tcPr>
            <w:tcW w:w="810" w:type="dxa"/>
            <w:hideMark/>
          </w:tcPr>
          <w:p w14:paraId="32D61E5D" w14:textId="77777777" w:rsidR="004B375D" w:rsidRDefault="004B375D" w:rsidP="00FA2663">
            <w:pPr>
              <w:pStyle w:val="NormalWeb"/>
              <w:jc w:val="center"/>
            </w:pPr>
            <w:r>
              <w:t>0</w:t>
            </w:r>
          </w:p>
        </w:tc>
        <w:tc>
          <w:tcPr>
            <w:tcW w:w="811" w:type="dxa"/>
            <w:hideMark/>
          </w:tcPr>
          <w:p w14:paraId="5B57AD60" w14:textId="77777777" w:rsidR="004B375D" w:rsidRDefault="004B375D" w:rsidP="00FA2663">
            <w:pPr>
              <w:pStyle w:val="NormalWeb"/>
              <w:jc w:val="center"/>
            </w:pPr>
            <w:r>
              <w:t>0</w:t>
            </w:r>
          </w:p>
        </w:tc>
        <w:tc>
          <w:tcPr>
            <w:tcW w:w="1260" w:type="dxa"/>
            <w:hideMark/>
          </w:tcPr>
          <w:p w14:paraId="4DA322AD" w14:textId="77777777" w:rsidR="004B375D" w:rsidRDefault="004B375D" w:rsidP="00FA2663">
            <w:pPr>
              <w:pStyle w:val="NormalWeb"/>
              <w:jc w:val="center"/>
            </w:pPr>
            <w:r>
              <w:t>783</w:t>
            </w:r>
          </w:p>
        </w:tc>
      </w:tr>
      <w:tr w:rsidR="004B375D" w14:paraId="42D93504"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E0743A4" w14:textId="77777777" w:rsidR="004B375D" w:rsidRDefault="004B375D" w:rsidP="00FA2663">
            <w:pPr>
              <w:pStyle w:val="NormalWeb"/>
            </w:pPr>
            <w:r>
              <w:t>Under initial investigation</w:t>
            </w:r>
          </w:p>
        </w:tc>
        <w:tc>
          <w:tcPr>
            <w:tcW w:w="810" w:type="dxa"/>
            <w:hideMark/>
          </w:tcPr>
          <w:p w14:paraId="77BAD340" w14:textId="77777777" w:rsidR="004B375D" w:rsidRDefault="004B375D" w:rsidP="00FA2663">
            <w:pPr>
              <w:pStyle w:val="NormalWeb"/>
              <w:jc w:val="center"/>
            </w:pPr>
            <w:r>
              <w:t>0</w:t>
            </w:r>
          </w:p>
        </w:tc>
        <w:tc>
          <w:tcPr>
            <w:tcW w:w="811" w:type="dxa"/>
            <w:hideMark/>
          </w:tcPr>
          <w:p w14:paraId="55473503" w14:textId="77777777" w:rsidR="004B375D" w:rsidRDefault="004B375D" w:rsidP="00FA2663">
            <w:pPr>
              <w:pStyle w:val="NormalWeb"/>
              <w:jc w:val="center"/>
            </w:pPr>
            <w:r>
              <w:t>8</w:t>
            </w:r>
          </w:p>
        </w:tc>
        <w:tc>
          <w:tcPr>
            <w:tcW w:w="810" w:type="dxa"/>
            <w:hideMark/>
          </w:tcPr>
          <w:p w14:paraId="27C98A2F" w14:textId="77777777" w:rsidR="004B375D" w:rsidRDefault="004B375D" w:rsidP="00FA2663">
            <w:pPr>
              <w:pStyle w:val="NormalWeb"/>
              <w:jc w:val="center"/>
            </w:pPr>
            <w:r>
              <w:t>0</w:t>
            </w:r>
          </w:p>
        </w:tc>
        <w:tc>
          <w:tcPr>
            <w:tcW w:w="811" w:type="dxa"/>
            <w:hideMark/>
          </w:tcPr>
          <w:p w14:paraId="79C6FB99" w14:textId="77777777" w:rsidR="004B375D" w:rsidRDefault="004B375D" w:rsidP="00FA2663">
            <w:pPr>
              <w:pStyle w:val="NormalWeb"/>
              <w:jc w:val="center"/>
            </w:pPr>
            <w:r>
              <w:t>0</w:t>
            </w:r>
          </w:p>
        </w:tc>
        <w:tc>
          <w:tcPr>
            <w:tcW w:w="810" w:type="dxa"/>
            <w:hideMark/>
          </w:tcPr>
          <w:p w14:paraId="61AF0435" w14:textId="77777777" w:rsidR="004B375D" w:rsidRDefault="004B375D" w:rsidP="00FA2663">
            <w:pPr>
              <w:pStyle w:val="NormalWeb"/>
              <w:jc w:val="center"/>
            </w:pPr>
            <w:r>
              <w:t>0</w:t>
            </w:r>
          </w:p>
        </w:tc>
        <w:tc>
          <w:tcPr>
            <w:tcW w:w="811" w:type="dxa"/>
            <w:hideMark/>
          </w:tcPr>
          <w:p w14:paraId="12414730" w14:textId="77777777" w:rsidR="004B375D" w:rsidRDefault="004B375D" w:rsidP="00FA2663">
            <w:pPr>
              <w:pStyle w:val="NormalWeb"/>
              <w:jc w:val="center"/>
            </w:pPr>
            <w:r>
              <w:t>0</w:t>
            </w:r>
          </w:p>
        </w:tc>
        <w:tc>
          <w:tcPr>
            <w:tcW w:w="810" w:type="dxa"/>
            <w:hideMark/>
          </w:tcPr>
          <w:p w14:paraId="6D54BF6C" w14:textId="77777777" w:rsidR="004B375D" w:rsidRDefault="004B375D" w:rsidP="00FA2663">
            <w:pPr>
              <w:pStyle w:val="NormalWeb"/>
              <w:jc w:val="center"/>
            </w:pPr>
            <w:r>
              <w:t>1</w:t>
            </w:r>
          </w:p>
        </w:tc>
        <w:tc>
          <w:tcPr>
            <w:tcW w:w="811" w:type="dxa"/>
            <w:hideMark/>
          </w:tcPr>
          <w:p w14:paraId="67407AE8" w14:textId="77777777" w:rsidR="004B375D" w:rsidRDefault="004B375D" w:rsidP="00FA2663">
            <w:pPr>
              <w:pStyle w:val="NormalWeb"/>
              <w:jc w:val="center"/>
            </w:pPr>
            <w:r>
              <w:t>0</w:t>
            </w:r>
          </w:p>
        </w:tc>
        <w:tc>
          <w:tcPr>
            <w:tcW w:w="1260" w:type="dxa"/>
            <w:hideMark/>
          </w:tcPr>
          <w:p w14:paraId="2FB80D0B" w14:textId="77777777" w:rsidR="004B375D" w:rsidRDefault="004B375D" w:rsidP="00FA2663">
            <w:pPr>
              <w:pStyle w:val="NormalWeb"/>
              <w:jc w:val="center"/>
            </w:pPr>
            <w:r>
              <w:t>9</w:t>
            </w:r>
          </w:p>
        </w:tc>
      </w:tr>
      <w:tr w:rsidR="004B375D" w14:paraId="7D329919" w14:textId="77777777" w:rsidTr="00FA2663">
        <w:tblPrEx>
          <w:tblCellMar>
            <w:top w:w="57" w:type="dxa"/>
            <w:left w:w="57" w:type="dxa"/>
            <w:bottom w:w="57" w:type="dxa"/>
            <w:right w:w="57" w:type="dxa"/>
          </w:tblCellMar>
        </w:tblPrEx>
        <w:tc>
          <w:tcPr>
            <w:tcW w:w="0" w:type="auto"/>
            <w:hideMark/>
          </w:tcPr>
          <w:p w14:paraId="21D3A203" w14:textId="77777777" w:rsidR="004B375D" w:rsidRDefault="004B375D" w:rsidP="00FA2663">
            <w:pPr>
              <w:pStyle w:val="NormalWeb"/>
            </w:pPr>
            <w:r>
              <w:t>Missing source of acquisition</w:t>
            </w:r>
          </w:p>
        </w:tc>
        <w:tc>
          <w:tcPr>
            <w:tcW w:w="810" w:type="dxa"/>
            <w:hideMark/>
          </w:tcPr>
          <w:p w14:paraId="4EFB1279" w14:textId="77777777" w:rsidR="004B375D" w:rsidRDefault="004B375D" w:rsidP="00FA2663">
            <w:pPr>
              <w:pStyle w:val="NormalWeb"/>
              <w:jc w:val="center"/>
            </w:pPr>
            <w:r>
              <w:t>0</w:t>
            </w:r>
          </w:p>
        </w:tc>
        <w:tc>
          <w:tcPr>
            <w:tcW w:w="811" w:type="dxa"/>
            <w:hideMark/>
          </w:tcPr>
          <w:p w14:paraId="11008D71" w14:textId="77777777" w:rsidR="004B375D" w:rsidRDefault="004B375D" w:rsidP="00FA2663">
            <w:pPr>
              <w:pStyle w:val="NormalWeb"/>
              <w:jc w:val="center"/>
            </w:pPr>
            <w:r>
              <w:t>0</w:t>
            </w:r>
          </w:p>
        </w:tc>
        <w:tc>
          <w:tcPr>
            <w:tcW w:w="810" w:type="dxa"/>
            <w:hideMark/>
          </w:tcPr>
          <w:p w14:paraId="5D3EE797" w14:textId="77777777" w:rsidR="004B375D" w:rsidRDefault="004B375D" w:rsidP="00FA2663">
            <w:pPr>
              <w:pStyle w:val="NormalWeb"/>
              <w:jc w:val="center"/>
            </w:pPr>
            <w:r>
              <w:t>0</w:t>
            </w:r>
          </w:p>
        </w:tc>
        <w:tc>
          <w:tcPr>
            <w:tcW w:w="811" w:type="dxa"/>
            <w:hideMark/>
          </w:tcPr>
          <w:p w14:paraId="514766E5" w14:textId="77777777" w:rsidR="004B375D" w:rsidRDefault="004B375D" w:rsidP="00FA2663">
            <w:pPr>
              <w:pStyle w:val="NormalWeb"/>
              <w:jc w:val="center"/>
            </w:pPr>
            <w:r>
              <w:t>0</w:t>
            </w:r>
          </w:p>
        </w:tc>
        <w:tc>
          <w:tcPr>
            <w:tcW w:w="810" w:type="dxa"/>
            <w:hideMark/>
          </w:tcPr>
          <w:p w14:paraId="3B432D44" w14:textId="77777777" w:rsidR="004B375D" w:rsidRDefault="004B375D" w:rsidP="00FA2663">
            <w:pPr>
              <w:pStyle w:val="NormalWeb"/>
              <w:jc w:val="center"/>
            </w:pPr>
            <w:r>
              <w:t>0</w:t>
            </w:r>
          </w:p>
        </w:tc>
        <w:tc>
          <w:tcPr>
            <w:tcW w:w="811" w:type="dxa"/>
            <w:hideMark/>
          </w:tcPr>
          <w:p w14:paraId="1B2C6DE3" w14:textId="77777777" w:rsidR="004B375D" w:rsidRDefault="004B375D" w:rsidP="00FA2663">
            <w:pPr>
              <w:pStyle w:val="NormalWeb"/>
              <w:jc w:val="center"/>
            </w:pPr>
            <w:r>
              <w:t>0</w:t>
            </w:r>
          </w:p>
        </w:tc>
        <w:tc>
          <w:tcPr>
            <w:tcW w:w="810" w:type="dxa"/>
            <w:hideMark/>
          </w:tcPr>
          <w:p w14:paraId="12804B53" w14:textId="77777777" w:rsidR="004B375D" w:rsidRDefault="004B375D" w:rsidP="00FA2663">
            <w:pPr>
              <w:pStyle w:val="NormalWeb"/>
              <w:jc w:val="center"/>
            </w:pPr>
            <w:r>
              <w:t>0</w:t>
            </w:r>
          </w:p>
        </w:tc>
        <w:tc>
          <w:tcPr>
            <w:tcW w:w="811" w:type="dxa"/>
            <w:hideMark/>
          </w:tcPr>
          <w:p w14:paraId="5ED668EC" w14:textId="77777777" w:rsidR="004B375D" w:rsidRDefault="004B375D" w:rsidP="00FA2663">
            <w:pPr>
              <w:pStyle w:val="NormalWeb"/>
              <w:jc w:val="center"/>
            </w:pPr>
            <w:r>
              <w:t>0</w:t>
            </w:r>
          </w:p>
        </w:tc>
        <w:tc>
          <w:tcPr>
            <w:tcW w:w="1260" w:type="dxa"/>
            <w:hideMark/>
          </w:tcPr>
          <w:p w14:paraId="6284014C" w14:textId="77777777" w:rsidR="004B375D" w:rsidRDefault="004B375D" w:rsidP="00FA2663">
            <w:pPr>
              <w:pStyle w:val="NormalWeb"/>
              <w:jc w:val="center"/>
            </w:pPr>
            <w:r>
              <w:t>0</w:t>
            </w:r>
          </w:p>
        </w:tc>
      </w:tr>
      <w:tr w:rsidR="004B375D" w:rsidRPr="00BC1BAD" w14:paraId="5DFC4742"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192841C8" w14:textId="77777777" w:rsidR="004B375D" w:rsidRPr="00BC1BAD" w:rsidRDefault="004B375D" w:rsidP="00FA2663">
            <w:pPr>
              <w:pStyle w:val="NormalWeb"/>
              <w:rPr>
                <w:b/>
                <w:bCs/>
              </w:rPr>
            </w:pPr>
            <w:r w:rsidRPr="00BC1BAD">
              <w:rPr>
                <w:b/>
                <w:bCs/>
              </w:rPr>
              <w:t>Total</w:t>
            </w:r>
          </w:p>
        </w:tc>
        <w:tc>
          <w:tcPr>
            <w:tcW w:w="810" w:type="dxa"/>
            <w:shd w:val="clear" w:color="auto" w:fill="FDE9D9" w:themeFill="accent6" w:themeFillTint="33"/>
            <w:hideMark/>
          </w:tcPr>
          <w:p w14:paraId="38704623" w14:textId="77777777" w:rsidR="004B375D" w:rsidRPr="00BC1BAD" w:rsidRDefault="004B375D" w:rsidP="00FA2663">
            <w:pPr>
              <w:pStyle w:val="NormalWeb"/>
              <w:jc w:val="center"/>
              <w:rPr>
                <w:b/>
                <w:bCs/>
              </w:rPr>
            </w:pPr>
            <w:r w:rsidRPr="00BC1BAD">
              <w:rPr>
                <w:b/>
                <w:bCs/>
              </w:rPr>
              <w:t>0</w:t>
            </w:r>
          </w:p>
        </w:tc>
        <w:tc>
          <w:tcPr>
            <w:tcW w:w="811" w:type="dxa"/>
            <w:shd w:val="clear" w:color="auto" w:fill="FDE9D9" w:themeFill="accent6" w:themeFillTint="33"/>
            <w:hideMark/>
          </w:tcPr>
          <w:p w14:paraId="463F7432" w14:textId="77777777" w:rsidR="004B375D" w:rsidRPr="00BC1BAD" w:rsidRDefault="004B375D" w:rsidP="00FA2663">
            <w:pPr>
              <w:pStyle w:val="NormalWeb"/>
              <w:jc w:val="center"/>
              <w:rPr>
                <w:b/>
                <w:bCs/>
              </w:rPr>
            </w:pPr>
            <w:r w:rsidRPr="00BC1BAD">
              <w:rPr>
                <w:b/>
                <w:bCs/>
              </w:rPr>
              <w:t>2,190</w:t>
            </w:r>
          </w:p>
        </w:tc>
        <w:tc>
          <w:tcPr>
            <w:tcW w:w="810" w:type="dxa"/>
            <w:shd w:val="clear" w:color="auto" w:fill="FDE9D9" w:themeFill="accent6" w:themeFillTint="33"/>
            <w:hideMark/>
          </w:tcPr>
          <w:p w14:paraId="0B5986F2" w14:textId="77777777" w:rsidR="004B375D" w:rsidRPr="00BC1BAD" w:rsidRDefault="004B375D" w:rsidP="00FA2663">
            <w:pPr>
              <w:pStyle w:val="NormalWeb"/>
              <w:jc w:val="center"/>
              <w:rPr>
                <w:b/>
                <w:bCs/>
              </w:rPr>
            </w:pPr>
            <w:r w:rsidRPr="00BC1BAD">
              <w:rPr>
                <w:b/>
                <w:bCs/>
              </w:rPr>
              <w:t>7</w:t>
            </w:r>
          </w:p>
        </w:tc>
        <w:tc>
          <w:tcPr>
            <w:tcW w:w="811" w:type="dxa"/>
            <w:shd w:val="clear" w:color="auto" w:fill="FDE9D9" w:themeFill="accent6" w:themeFillTint="33"/>
            <w:hideMark/>
          </w:tcPr>
          <w:p w14:paraId="049AB128" w14:textId="77777777" w:rsidR="004B375D" w:rsidRPr="00BC1BAD" w:rsidRDefault="004B375D" w:rsidP="00FA2663">
            <w:pPr>
              <w:pStyle w:val="NormalWeb"/>
              <w:jc w:val="center"/>
              <w:rPr>
                <w:b/>
                <w:bCs/>
              </w:rPr>
            </w:pPr>
            <w:r w:rsidRPr="00BC1BAD">
              <w:rPr>
                <w:b/>
                <w:bCs/>
              </w:rPr>
              <w:t>61</w:t>
            </w:r>
          </w:p>
        </w:tc>
        <w:tc>
          <w:tcPr>
            <w:tcW w:w="810" w:type="dxa"/>
            <w:shd w:val="clear" w:color="auto" w:fill="FDE9D9" w:themeFill="accent6" w:themeFillTint="33"/>
            <w:hideMark/>
          </w:tcPr>
          <w:p w14:paraId="3D8B0AB2" w14:textId="77777777" w:rsidR="004B375D" w:rsidRPr="00BC1BAD" w:rsidRDefault="004B375D" w:rsidP="00FA2663">
            <w:pPr>
              <w:pStyle w:val="NormalWeb"/>
              <w:jc w:val="center"/>
              <w:rPr>
                <w:b/>
                <w:bCs/>
              </w:rPr>
            </w:pPr>
            <w:r w:rsidRPr="00BC1BAD">
              <w:rPr>
                <w:b/>
                <w:bCs/>
              </w:rPr>
              <w:t>25</w:t>
            </w:r>
          </w:p>
        </w:tc>
        <w:tc>
          <w:tcPr>
            <w:tcW w:w="811" w:type="dxa"/>
            <w:shd w:val="clear" w:color="auto" w:fill="FDE9D9" w:themeFill="accent6" w:themeFillTint="33"/>
            <w:hideMark/>
          </w:tcPr>
          <w:p w14:paraId="1A262D3A" w14:textId="77777777" w:rsidR="004B375D" w:rsidRPr="00BC1BAD" w:rsidRDefault="004B375D" w:rsidP="00FA2663">
            <w:pPr>
              <w:pStyle w:val="NormalWeb"/>
              <w:jc w:val="center"/>
              <w:rPr>
                <w:b/>
                <w:bCs/>
              </w:rPr>
            </w:pPr>
            <w:r w:rsidRPr="00BC1BAD">
              <w:rPr>
                <w:b/>
                <w:bCs/>
              </w:rPr>
              <w:t>0</w:t>
            </w:r>
          </w:p>
        </w:tc>
        <w:tc>
          <w:tcPr>
            <w:tcW w:w="810" w:type="dxa"/>
            <w:shd w:val="clear" w:color="auto" w:fill="FDE9D9" w:themeFill="accent6" w:themeFillTint="33"/>
            <w:hideMark/>
          </w:tcPr>
          <w:p w14:paraId="45A1C663" w14:textId="77777777" w:rsidR="004B375D" w:rsidRPr="00BC1BAD" w:rsidRDefault="004B375D" w:rsidP="00FA2663">
            <w:pPr>
              <w:pStyle w:val="NormalWeb"/>
              <w:jc w:val="center"/>
              <w:rPr>
                <w:b/>
                <w:bCs/>
              </w:rPr>
            </w:pPr>
            <w:r w:rsidRPr="00BC1BAD">
              <w:rPr>
                <w:b/>
                <w:bCs/>
              </w:rPr>
              <w:t>153</w:t>
            </w:r>
          </w:p>
        </w:tc>
        <w:tc>
          <w:tcPr>
            <w:tcW w:w="811" w:type="dxa"/>
            <w:shd w:val="clear" w:color="auto" w:fill="FDE9D9" w:themeFill="accent6" w:themeFillTint="33"/>
            <w:hideMark/>
          </w:tcPr>
          <w:p w14:paraId="6A44A645" w14:textId="77777777" w:rsidR="004B375D" w:rsidRPr="00BC1BAD" w:rsidRDefault="004B375D" w:rsidP="00FA2663">
            <w:pPr>
              <w:pStyle w:val="NormalWeb"/>
              <w:jc w:val="center"/>
              <w:rPr>
                <w:b/>
                <w:bCs/>
              </w:rPr>
            </w:pPr>
            <w:r w:rsidRPr="00BC1BAD">
              <w:rPr>
                <w:b/>
                <w:bCs/>
              </w:rPr>
              <w:t>20</w:t>
            </w:r>
          </w:p>
        </w:tc>
        <w:tc>
          <w:tcPr>
            <w:tcW w:w="1260" w:type="dxa"/>
            <w:shd w:val="clear" w:color="auto" w:fill="FDE9D9" w:themeFill="accent6" w:themeFillTint="33"/>
            <w:hideMark/>
          </w:tcPr>
          <w:p w14:paraId="66AB8AE4" w14:textId="77777777" w:rsidR="004B375D" w:rsidRPr="00BC1BAD" w:rsidRDefault="004B375D" w:rsidP="00FA2663">
            <w:pPr>
              <w:pStyle w:val="NormalWeb"/>
              <w:jc w:val="center"/>
              <w:rPr>
                <w:b/>
                <w:bCs/>
              </w:rPr>
            </w:pPr>
            <w:r w:rsidRPr="00BC1BAD">
              <w:rPr>
                <w:b/>
                <w:bCs/>
              </w:rPr>
              <w:t>2,456</w:t>
            </w:r>
          </w:p>
        </w:tc>
      </w:tr>
    </w:tbl>
    <w:p w14:paraId="3246A78A" w14:textId="77777777" w:rsidR="004B375D" w:rsidRDefault="004B375D" w:rsidP="004B375D">
      <w:pPr>
        <w:pStyle w:val="CDIfootnotes"/>
        <w:rPr>
          <w:lang w:val="en-GB"/>
        </w:rPr>
      </w:pPr>
      <w:r>
        <w:rPr>
          <w:lang w:val="en-GB"/>
        </w:rPr>
        <w:t>a</w:t>
      </w:r>
      <w:r>
        <w:rPr>
          <w:lang w:val="en-GB"/>
        </w:rPr>
        <w:tab/>
        <w:t>Source: NNDSS extract from 3 August 2021 for notifications to 1 August 2021.</w:t>
      </w:r>
    </w:p>
    <w:p w14:paraId="3EFE83FC" w14:textId="782C8456" w:rsidR="004B375D" w:rsidRPr="004B375D" w:rsidRDefault="004B375D" w:rsidP="004B375D">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2BEAFB71" w14:textId="5564B022" w:rsidR="00E77137" w:rsidRDefault="00E77137" w:rsidP="00E77137">
      <w:r>
        <w:t xml:space="preserve">In the year to date, from 1 January 2021 to 1 August 2021, there have been 5,680 COVID-19 cases reported nationally. This year, until the week ending 20 June 2021, the number of weekly cases diagnosed remained below 180 cases per week (Figure 1). While there has been an increase in cases since mid-June 2021, cases in 2021 have remained low in contrast to the two distinct peaks experienced in March and July of 2020, when the number of weekly cases diagnosed reached approximately 2,700 and 3,000 respectively (Figure 2). Cumulatively, since the beginning of the epidemic in Australia, there have been 34,084 COVID-19 cases reported in Australia. </w:t>
      </w:r>
    </w:p>
    <w:p w14:paraId="458D505E" w14:textId="77777777" w:rsidR="00B84449" w:rsidRDefault="00B84449">
      <w:pPr>
        <w:rPr>
          <w:rFonts w:asciiTheme="majorHAnsi" w:eastAsiaTheme="majorEastAsia" w:hAnsiTheme="majorHAnsi" w:cstheme="majorBidi"/>
          <w:b/>
          <w:bCs/>
          <w:sz w:val="26"/>
          <w:szCs w:val="26"/>
        </w:rPr>
      </w:pPr>
      <w:r>
        <w:br w:type="page"/>
      </w:r>
    </w:p>
    <w:p w14:paraId="64E9D1C6" w14:textId="77777777" w:rsidR="00B84449" w:rsidRDefault="00B84449" w:rsidP="00B84449">
      <w:pPr>
        <w:pStyle w:val="CDIFigures"/>
        <w:rPr>
          <w:lang w:val="en-GB"/>
        </w:rPr>
      </w:pPr>
      <w:r>
        <w:rPr>
          <w:lang w:val="en-GB"/>
        </w:rPr>
        <w:lastRenderedPageBreak/>
        <w:t>Figure 1: COVID-19 notified cases by source of acquisition and diagnosis date, 28 December 2020 – 1 August 2021</w:t>
      </w:r>
      <w:r w:rsidRPr="00BC1BAD">
        <w:rPr>
          <w:vertAlign w:val="superscript"/>
          <w:lang w:val="en-GB"/>
        </w:rPr>
        <w:t>a</w:t>
      </w:r>
    </w:p>
    <w:p w14:paraId="79217E74" w14:textId="77777777" w:rsidR="00B84449" w:rsidRDefault="00B84449" w:rsidP="00B84449">
      <w:pPr>
        <w:rPr>
          <w:rFonts w:eastAsia="Times New Roman"/>
          <w:lang w:val="en-GB"/>
        </w:rPr>
      </w:pPr>
      <w:r>
        <w:rPr>
          <w:rFonts w:eastAsia="Times New Roman"/>
          <w:noProof/>
          <w:lang w:val="en-GB"/>
        </w:rPr>
        <w:drawing>
          <wp:inline distT="0" distB="0" distL="0" distR="0" wp14:anchorId="4FB6A1A4" wp14:editId="275B4FB6">
            <wp:extent cx="6694585" cy="4591050"/>
            <wp:effectExtent l="0" t="0" r="0" b="0"/>
            <wp:docPr id="4" name="Picture 4"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for the last four weeks, with total cases exceeding 1,000 in each week of the current reporting fortn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ar chart of new case notifications in Australia, by week of illness diagnosis and source of acquisition, for the calendar year to date. For the first 25 weeks of 2021, until the week ending 20 June, weekly case notifications remained below 180 cases per week and were generally dominated by overseas-acquired cases; locally-acquired cases have predominated for the last four weeks, with total cases exceeding 1,000 in each week of the current reporting fortnight.&#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94585" cy="4591050"/>
                    </a:xfrm>
                    <a:prstGeom prst="rect">
                      <a:avLst/>
                    </a:prstGeom>
                  </pic:spPr>
                </pic:pic>
              </a:graphicData>
            </a:graphic>
          </wp:inline>
        </w:drawing>
      </w:r>
    </w:p>
    <w:p w14:paraId="112EF8F8" w14:textId="095A9367" w:rsidR="00B84449" w:rsidRPr="00B84449" w:rsidRDefault="00B84449" w:rsidP="00B84449">
      <w:pPr>
        <w:pStyle w:val="CDIfootnotes"/>
        <w:rPr>
          <w:lang w:val="en-GB"/>
        </w:rPr>
      </w:pPr>
      <w:r>
        <w:rPr>
          <w:lang w:val="en-GB"/>
        </w:rPr>
        <w:t>a</w:t>
      </w:r>
      <w:r>
        <w:rPr>
          <w:lang w:val="en-GB"/>
        </w:rPr>
        <w:tab/>
        <w:t>Source: NNDSS, extract from 3 August 2021 for notifications to 1 August 2021.</w:t>
      </w:r>
    </w:p>
    <w:p w14:paraId="2B7E3728" w14:textId="77777777" w:rsidR="0013436E" w:rsidRDefault="0013436E">
      <w:pPr>
        <w:rPr>
          <w:rStyle w:val="Strong"/>
          <w:bCs w:val="0"/>
        </w:rPr>
      </w:pPr>
      <w:r>
        <w:rPr>
          <w:rStyle w:val="Strong"/>
          <w:b w:val="0"/>
          <w:bCs w:val="0"/>
        </w:rPr>
        <w:br w:type="page"/>
      </w:r>
    </w:p>
    <w:p w14:paraId="5231942A" w14:textId="08BF3C70" w:rsidR="0013436E" w:rsidRPr="00BC1BAD" w:rsidRDefault="0013436E" w:rsidP="0013436E">
      <w:pPr>
        <w:pStyle w:val="CDIFigures"/>
      </w:pPr>
      <w:r w:rsidRPr="00BC1BAD">
        <w:rPr>
          <w:rStyle w:val="Strong"/>
          <w:b/>
          <w:bCs w:val="0"/>
        </w:rPr>
        <w:lastRenderedPageBreak/>
        <w:t>Figure 2: Cumulative COVID-19 notified cases by source of acquisition and diagnosis date,</w:t>
      </w:r>
      <w:r>
        <w:rPr>
          <w:rStyle w:val="Strong"/>
          <w:b/>
          <w:bCs w:val="0"/>
        </w:rPr>
        <w:t xml:space="preserve"> </w:t>
      </w:r>
      <w:r w:rsidRPr="00BC1BAD">
        <w:rPr>
          <w:rStyle w:val="Strong"/>
          <w:b/>
          <w:bCs w:val="0"/>
        </w:rPr>
        <w:t>2 March 2020 – 1 August 2021</w:t>
      </w:r>
      <w:r w:rsidRPr="00BC1BAD">
        <w:rPr>
          <w:rStyle w:val="Strong"/>
          <w:b/>
          <w:bCs w:val="0"/>
          <w:vertAlign w:val="superscript"/>
        </w:rPr>
        <w:t>a</w:t>
      </w:r>
    </w:p>
    <w:p w14:paraId="530DF8FB" w14:textId="77777777" w:rsidR="0013436E" w:rsidRDefault="0013436E" w:rsidP="0013436E">
      <w:pPr>
        <w:rPr>
          <w:rFonts w:eastAsia="Times New Roman"/>
          <w:lang w:val="en-GB"/>
        </w:rPr>
      </w:pPr>
      <w:r>
        <w:rPr>
          <w:rFonts w:eastAsia="Times New Roman"/>
          <w:noProof/>
          <w:lang w:val="en-GB"/>
        </w:rPr>
        <w:drawing>
          <wp:inline distT="0" distB="0" distL="0" distR="0" wp14:anchorId="09CEB754" wp14:editId="750DCADC">
            <wp:extent cx="6629400" cy="4373356"/>
            <wp:effectExtent l="0" t="0" r="0" b="8255"/>
            <wp:docPr id="5" name="Picture 5"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After several subsequent months largely dominated by overseas-acquired cases and generally low weekly case numbers, a further escalation in cases (largely locally acquired), starting from the week ending 27 June 2021, is evid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After several subsequent months largely dominated by overseas-acquired cases and generally low weekly case numbers, a further escalation in cases (largely locally acquired), starting from the week ending 27 June 2021, is evident. &#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29400" cy="4373356"/>
                    </a:xfrm>
                    <a:prstGeom prst="rect">
                      <a:avLst/>
                    </a:prstGeom>
                  </pic:spPr>
                </pic:pic>
              </a:graphicData>
            </a:graphic>
          </wp:inline>
        </w:drawing>
      </w:r>
    </w:p>
    <w:p w14:paraId="78363238" w14:textId="182852AC" w:rsidR="0013436E" w:rsidRPr="0013436E" w:rsidRDefault="0013436E" w:rsidP="0013436E">
      <w:pPr>
        <w:pStyle w:val="CDIfootnotes"/>
        <w:rPr>
          <w:lang w:val="en-GB"/>
        </w:rPr>
      </w:pPr>
      <w:r>
        <w:rPr>
          <w:lang w:val="en-GB"/>
        </w:rPr>
        <w:t>a</w:t>
      </w:r>
      <w:r>
        <w:rPr>
          <w:lang w:val="en-GB"/>
        </w:rPr>
        <w:tab/>
        <w:t>Source: NNDSS, extract from 3 August 2021 for notifications to 1 August 2021.</w:t>
      </w:r>
    </w:p>
    <w:p w14:paraId="70BCF078" w14:textId="14255B8F" w:rsidR="00E77137" w:rsidRPr="00E77137" w:rsidRDefault="00E77137" w:rsidP="00E77137">
      <w:pPr>
        <w:pStyle w:val="Heading2"/>
      </w:pPr>
      <w:r w:rsidRPr="00E77137">
        <w:t xml:space="preserve">Source of acquisition </w:t>
      </w:r>
    </w:p>
    <w:p w14:paraId="1B62244E" w14:textId="77777777" w:rsidR="00E77137" w:rsidRPr="00330BF2" w:rsidRDefault="00E77137" w:rsidP="00E77137">
      <w:pPr>
        <w:pStyle w:val="Heading3"/>
        <w:rPr>
          <w:b w:val="0"/>
          <w:bCs w:val="0"/>
          <w:i/>
          <w:iCs/>
        </w:rPr>
      </w:pPr>
      <w:r w:rsidRPr="00330BF2">
        <w:rPr>
          <w:b w:val="0"/>
          <w:bCs w:val="0"/>
          <w:i/>
          <w:iCs/>
        </w:rPr>
        <w:t xml:space="preserve">(NNDSS) </w:t>
      </w:r>
    </w:p>
    <w:p w14:paraId="1F178FCB" w14:textId="77777777" w:rsidR="00E77137" w:rsidRDefault="00E77137" w:rsidP="00E77137">
      <w:r>
        <w:t xml:space="preserve">In this reporting period, 96% (2,356/2,456) of cases notified were locally acquired and 4% (91/2,456) were overseas acquired. At the end of the reporting period, there were nine cases under initial investigation, eight from New South Wales and one from Victoria (Table 1). </w:t>
      </w:r>
    </w:p>
    <w:p w14:paraId="65F40ED9" w14:textId="0C92259F" w:rsidR="00E77137" w:rsidRDefault="00E77137" w:rsidP="00E77137">
      <w:r>
        <w:t xml:space="preserve">New South Wales reported the majority of </w:t>
      </w:r>
      <w:proofErr w:type="gramStart"/>
      <w:r>
        <w:t>locally-acquired</w:t>
      </w:r>
      <w:proofErr w:type="gramEnd"/>
      <w:r>
        <w:t xml:space="preserve"> cases (92%; 2,159/2,356) in this fortnight, followed by Victoria (6%; 145/2,356). In the reporting period, 66% (1,560/2,356) of </w:t>
      </w:r>
      <w:proofErr w:type="gramStart"/>
      <w:r>
        <w:t>locally-acquired</w:t>
      </w:r>
      <w:proofErr w:type="gramEnd"/>
      <w:r>
        <w:t xml:space="preserve"> cases had a known contact or link to a cluster, and 13 cases (12 in New South Wales and one in South Australia) had an unknown source. At the end of the reporting period, the source of infection was under ongoing investigation for 783 cases from New South</w:t>
      </w:r>
      <w:r w:rsidR="0086710B">
        <w:t> </w:t>
      </w:r>
      <w:r>
        <w:t xml:space="preserve">Wales. </w:t>
      </w:r>
    </w:p>
    <w:p w14:paraId="5EEA8C32" w14:textId="2409EB06" w:rsidR="006B3925" w:rsidRDefault="00E77137" w:rsidP="00E77137">
      <w:r>
        <w:t xml:space="preserve">For 2021 to date, New South Wales had the highest infection rate for </w:t>
      </w:r>
      <w:proofErr w:type="gramStart"/>
      <w:r>
        <w:t>locally-acquired</w:t>
      </w:r>
      <w:proofErr w:type="gramEnd"/>
      <w:r>
        <w:t xml:space="preserve"> cases with 43.5 infections per 100,000 population, followed by Victoria with a rate of 5.5 infections per 100,000 population (Table 2). Based on cases notified up to 1 August 2021, both the Australian Capital Territory and Tasmania reported that it had been more than a year since the last </w:t>
      </w:r>
      <w:proofErr w:type="gramStart"/>
      <w:r>
        <w:t>locally-acquired</w:t>
      </w:r>
      <w:proofErr w:type="gramEnd"/>
      <w:r>
        <w:t xml:space="preserve"> case within either jurisdiction (Table 3). </w:t>
      </w:r>
    </w:p>
    <w:p w14:paraId="2B8A0BC4" w14:textId="77777777" w:rsidR="006B3925" w:rsidRDefault="006B3925">
      <w:r>
        <w:br w:type="page"/>
      </w:r>
    </w:p>
    <w:p w14:paraId="69F215B9" w14:textId="77777777" w:rsidR="006B3925" w:rsidRPr="00BC1BAD" w:rsidRDefault="006B3925" w:rsidP="006B3925">
      <w:pPr>
        <w:pStyle w:val="CDIFigures"/>
      </w:pPr>
      <w:r w:rsidRPr="00BC1BAD">
        <w:rPr>
          <w:rStyle w:val="Strong"/>
          <w:b/>
          <w:bCs w:val="0"/>
        </w:rPr>
        <w:lastRenderedPageBreak/>
        <w:t xml:space="preserve">Table 2: </w:t>
      </w:r>
      <w:proofErr w:type="gramStart"/>
      <w:r w:rsidRPr="00BC1BAD">
        <w:rPr>
          <w:rStyle w:val="Strong"/>
          <w:b/>
          <w:bCs w:val="0"/>
        </w:rPr>
        <w:t>Locally-acquired</w:t>
      </w:r>
      <w:proofErr w:type="gramEnd"/>
      <w:r w:rsidRPr="00BC1BAD">
        <w:rPr>
          <w:rStyle w:val="Strong"/>
          <w:b/>
          <w:bCs w:val="0"/>
        </w:rPr>
        <w:t xml:space="preserve"> COVID-19 case numbers and rates per 100,000 population by jurisdiction and reporting period, Australia, with a notification received date from 1 January to 1 August 2021</w:t>
      </w:r>
      <w:r w:rsidRPr="00BC1BAD">
        <w:rPr>
          <w:rStyle w:val="Strong"/>
          <w:b/>
          <w:bCs w:val="0"/>
          <w:vertAlign w:val="superscript"/>
        </w:rPr>
        <w:t>a</w:t>
      </w:r>
    </w:p>
    <w:tbl>
      <w:tblPr>
        <w:tblStyle w:val="CDI-StandardTable"/>
        <w:tblW w:w="0" w:type="auto"/>
        <w:tblLook w:val="04A0" w:firstRow="1" w:lastRow="0" w:firstColumn="1" w:lastColumn="0" w:noHBand="0" w:noVBand="1"/>
        <w:tblDescription w:val="Table 2 shows the locally-acquired case notifications within each jurisdiction for the current two-week reporting period, the previous two-week reporting period, and the total case numbers and rates per 100,000 population for each jurisdiction for the calendar year to date. For this reporting period, there were 2,356 locally-acquired cases, most of them notified in New South Wales (2,159 cases). Other jurisdictions with locally-acquired cases this reporting period were Victoria (145), Queensland (31) and South Australia (21). Significantly more locally-acquired cases were notified in the current reporting period than in the previous reporting period (also dominated by cases in New South Wales). Nationwide, the total number of locally-acquired cases for the calendar year to date is 4,071 cases, with a corresponding locally-acquired case rate of 15.85 cases per 100,000 population, predominantly driven by New South Wales’ case rate this year of 43.47 cases per 100,000 population."/>
      </w:tblPr>
      <w:tblGrid>
        <w:gridCol w:w="1282"/>
        <w:gridCol w:w="2246"/>
        <w:gridCol w:w="2268"/>
        <w:gridCol w:w="2127"/>
        <w:gridCol w:w="2326"/>
      </w:tblGrid>
      <w:tr w:rsidR="006B3925" w:rsidRPr="00BC1BAD" w14:paraId="2F48381D" w14:textId="77777777" w:rsidTr="00FA266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07384AE7" w14:textId="77777777" w:rsidR="006B3925" w:rsidRPr="00BC1BAD" w:rsidRDefault="006B3925" w:rsidP="00FA2663">
            <w:pPr>
              <w:pStyle w:val="NormalWeb"/>
              <w:rPr>
                <w:color w:val="FFFFFF" w:themeColor="background1"/>
              </w:rPr>
            </w:pPr>
            <w:r w:rsidRPr="00BC1BAD">
              <w:rPr>
                <w:color w:val="FFFFFF" w:themeColor="background1"/>
              </w:rPr>
              <w:t>Jurisdiction</w:t>
            </w:r>
          </w:p>
        </w:tc>
        <w:tc>
          <w:tcPr>
            <w:tcW w:w="2246" w:type="dxa"/>
            <w:tcBorders>
              <w:left w:val="single" w:sz="2" w:space="0" w:color="FFFFFF" w:themeColor="background1"/>
              <w:bottom w:val="single" w:sz="2" w:space="0" w:color="FFFFFF" w:themeColor="background1"/>
              <w:right w:val="single" w:sz="2" w:space="0" w:color="FFFFFF" w:themeColor="background1"/>
            </w:tcBorders>
            <w:vAlign w:val="center"/>
            <w:hideMark/>
          </w:tcPr>
          <w:p w14:paraId="159E3A97" w14:textId="77777777" w:rsidR="006B3925" w:rsidRPr="00BC1BAD" w:rsidRDefault="006B3925" w:rsidP="00FA2663">
            <w:pPr>
              <w:pStyle w:val="NormalWeb"/>
              <w:jc w:val="center"/>
              <w:rPr>
                <w:color w:val="FFFFFF" w:themeColor="background1"/>
              </w:rPr>
            </w:pPr>
            <w:r w:rsidRPr="00BC1BAD">
              <w:rPr>
                <w:color w:val="FFFFFF" w:themeColor="background1"/>
              </w:rPr>
              <w:t>Reporting period</w:t>
            </w:r>
            <w:r w:rsidRPr="00BC1BAD">
              <w:rPr>
                <w:color w:val="FFFFFF" w:themeColor="background1"/>
              </w:rPr>
              <w:br/>
              <w:t>19 July–1 August 2021</w:t>
            </w:r>
          </w:p>
        </w:tc>
        <w:tc>
          <w:tcPr>
            <w:tcW w:w="2268" w:type="dxa"/>
            <w:tcBorders>
              <w:left w:val="single" w:sz="2" w:space="0" w:color="FFFFFF" w:themeColor="background1"/>
              <w:bottom w:val="single" w:sz="2" w:space="0" w:color="FFFFFF" w:themeColor="background1"/>
              <w:right w:val="single" w:sz="2" w:space="0" w:color="FFFFFF" w:themeColor="background1"/>
            </w:tcBorders>
            <w:vAlign w:val="center"/>
            <w:hideMark/>
          </w:tcPr>
          <w:p w14:paraId="723A6EF2" w14:textId="77777777" w:rsidR="006B3925" w:rsidRPr="00BC1BAD" w:rsidRDefault="006B3925" w:rsidP="00FA2663">
            <w:pPr>
              <w:pStyle w:val="NormalWeb"/>
              <w:jc w:val="center"/>
              <w:rPr>
                <w:color w:val="FFFFFF" w:themeColor="background1"/>
              </w:rPr>
            </w:pPr>
            <w:r w:rsidRPr="00BC1BAD">
              <w:rPr>
                <w:color w:val="FFFFFF" w:themeColor="background1"/>
              </w:rPr>
              <w:t>Reporting period</w:t>
            </w:r>
            <w:r w:rsidRPr="00BC1BAD">
              <w:rPr>
                <w:color w:val="FFFFFF" w:themeColor="background1"/>
              </w:rPr>
              <w:br/>
              <w:t>5–18 July 2021</w:t>
            </w:r>
          </w:p>
        </w:tc>
        <w:tc>
          <w:tcPr>
            <w:tcW w:w="4453" w:type="dxa"/>
            <w:gridSpan w:val="2"/>
            <w:tcBorders>
              <w:left w:val="single" w:sz="2" w:space="0" w:color="FFFFFF" w:themeColor="background1"/>
              <w:bottom w:val="single" w:sz="2" w:space="0" w:color="FFFFFF" w:themeColor="background1"/>
            </w:tcBorders>
            <w:vAlign w:val="center"/>
            <w:hideMark/>
          </w:tcPr>
          <w:p w14:paraId="46BF2DAE" w14:textId="77777777" w:rsidR="006B3925" w:rsidRPr="00BC1BAD" w:rsidRDefault="006B3925" w:rsidP="00FA2663">
            <w:pPr>
              <w:pStyle w:val="NormalWeb"/>
              <w:jc w:val="center"/>
              <w:rPr>
                <w:color w:val="FFFFFF" w:themeColor="background1"/>
              </w:rPr>
            </w:pPr>
            <w:r w:rsidRPr="00BC1BAD">
              <w:rPr>
                <w:color w:val="FFFFFF" w:themeColor="background1"/>
              </w:rPr>
              <w:t>Cases this year</w:t>
            </w:r>
            <w:r w:rsidRPr="00BC1BAD">
              <w:rPr>
                <w:color w:val="FFFFFF" w:themeColor="background1"/>
              </w:rPr>
              <w:br/>
              <w:t>1 January – 1 August 2021</w:t>
            </w:r>
            <w:r w:rsidRPr="00BC1BAD">
              <w:rPr>
                <w:color w:val="FFFFFF" w:themeColor="background1"/>
                <w:vertAlign w:val="superscript"/>
              </w:rPr>
              <w:t>b</w:t>
            </w:r>
          </w:p>
        </w:tc>
      </w:tr>
      <w:tr w:rsidR="006B3925" w:rsidRPr="00BC1BAD" w14:paraId="3E8F1C22" w14:textId="77777777" w:rsidTr="00FA266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009D8A74" w14:textId="77777777" w:rsidR="006B3925" w:rsidRPr="00BC1BAD" w:rsidRDefault="006B3925" w:rsidP="00FA2663">
            <w:pPr>
              <w:jc w:val="center"/>
              <w:rPr>
                <w:color w:val="FFFFFF" w:themeColor="background1"/>
                <w:sz w:val="24"/>
                <w:szCs w:val="24"/>
              </w:rPr>
            </w:pPr>
          </w:p>
        </w:tc>
        <w:tc>
          <w:tcPr>
            <w:tcW w:w="2246" w:type="dxa"/>
            <w:tcBorders>
              <w:top w:val="single" w:sz="2" w:space="0" w:color="FFFFFF" w:themeColor="background1"/>
              <w:left w:val="single" w:sz="2" w:space="0" w:color="FFFFFF" w:themeColor="background1"/>
              <w:right w:val="single" w:sz="2" w:space="0" w:color="FFFFFF" w:themeColor="background1"/>
            </w:tcBorders>
            <w:vAlign w:val="center"/>
            <w:hideMark/>
          </w:tcPr>
          <w:p w14:paraId="36D5366B" w14:textId="77777777" w:rsidR="006B3925" w:rsidRPr="00BC1BAD" w:rsidRDefault="006B3925" w:rsidP="00FA2663">
            <w:pPr>
              <w:pStyle w:val="NormalWeb"/>
              <w:jc w:val="center"/>
              <w:rPr>
                <w:color w:val="FFFFFF" w:themeColor="background1"/>
              </w:rPr>
            </w:pPr>
            <w:r w:rsidRPr="00BC1BAD">
              <w:rPr>
                <w:color w:val="FFFFFF" w:themeColor="background1"/>
              </w:rPr>
              <w:t xml:space="preserve">Number of </w:t>
            </w:r>
            <w:proofErr w:type="spellStart"/>
            <w:r w:rsidRPr="00BC1BAD">
              <w:rPr>
                <w:color w:val="FFFFFF" w:themeColor="background1"/>
              </w:rPr>
              <w:t>cases</w:t>
            </w:r>
            <w:r w:rsidRPr="00BC1BAD">
              <w:rPr>
                <w:color w:val="FFFFFF" w:themeColor="background1"/>
                <w:vertAlign w:val="superscript"/>
              </w:rPr>
              <w:t>b</w:t>
            </w:r>
            <w:proofErr w:type="spellEnd"/>
          </w:p>
        </w:tc>
        <w:tc>
          <w:tcPr>
            <w:tcW w:w="2268" w:type="dxa"/>
            <w:tcBorders>
              <w:top w:val="single" w:sz="2" w:space="0" w:color="FFFFFF" w:themeColor="background1"/>
              <w:left w:val="single" w:sz="2" w:space="0" w:color="FFFFFF" w:themeColor="background1"/>
              <w:right w:val="single" w:sz="2" w:space="0" w:color="FFFFFF" w:themeColor="background1"/>
            </w:tcBorders>
            <w:vAlign w:val="center"/>
            <w:hideMark/>
          </w:tcPr>
          <w:p w14:paraId="2C957C24" w14:textId="77777777" w:rsidR="006B3925" w:rsidRPr="00BC1BAD" w:rsidRDefault="006B3925" w:rsidP="00FA2663">
            <w:pPr>
              <w:pStyle w:val="NormalWeb"/>
              <w:jc w:val="center"/>
              <w:rPr>
                <w:color w:val="FFFFFF" w:themeColor="background1"/>
              </w:rPr>
            </w:pPr>
            <w:r w:rsidRPr="00BC1BAD">
              <w:rPr>
                <w:color w:val="FFFFFF" w:themeColor="background1"/>
              </w:rPr>
              <w:t xml:space="preserve">Number of </w:t>
            </w:r>
            <w:proofErr w:type="spellStart"/>
            <w:r w:rsidRPr="00BC1BAD">
              <w:rPr>
                <w:color w:val="FFFFFF" w:themeColor="background1"/>
              </w:rPr>
              <w:t>cases</w:t>
            </w:r>
            <w:r w:rsidRPr="00BC1BAD">
              <w:rPr>
                <w:color w:val="FFFFFF" w:themeColor="background1"/>
                <w:vertAlign w:val="superscript"/>
              </w:rPr>
              <w:t>b</w:t>
            </w:r>
            <w:proofErr w:type="spellEnd"/>
          </w:p>
        </w:tc>
        <w:tc>
          <w:tcPr>
            <w:tcW w:w="2127" w:type="dxa"/>
            <w:tcBorders>
              <w:top w:val="single" w:sz="2" w:space="0" w:color="FFFFFF" w:themeColor="background1"/>
              <w:left w:val="single" w:sz="2" w:space="0" w:color="FFFFFF" w:themeColor="background1"/>
              <w:right w:val="single" w:sz="2" w:space="0" w:color="FFFFFF" w:themeColor="background1"/>
            </w:tcBorders>
            <w:vAlign w:val="center"/>
            <w:hideMark/>
          </w:tcPr>
          <w:p w14:paraId="7DC84B23" w14:textId="77777777" w:rsidR="006B3925" w:rsidRPr="00BC1BAD" w:rsidRDefault="006B3925" w:rsidP="00FA2663">
            <w:pPr>
              <w:pStyle w:val="NormalWeb"/>
              <w:jc w:val="center"/>
              <w:rPr>
                <w:color w:val="FFFFFF" w:themeColor="background1"/>
              </w:rPr>
            </w:pPr>
            <w:r w:rsidRPr="00BC1BAD">
              <w:rPr>
                <w:color w:val="FFFFFF" w:themeColor="background1"/>
              </w:rPr>
              <w:t xml:space="preserve">Number of </w:t>
            </w:r>
            <w:proofErr w:type="spellStart"/>
            <w:r w:rsidRPr="00BC1BAD">
              <w:rPr>
                <w:color w:val="FFFFFF" w:themeColor="background1"/>
              </w:rPr>
              <w:t>cases</w:t>
            </w:r>
            <w:r w:rsidRPr="00BC1BAD">
              <w:rPr>
                <w:color w:val="FFFFFF" w:themeColor="background1"/>
                <w:vertAlign w:val="superscript"/>
              </w:rPr>
              <w:t>b</w:t>
            </w:r>
            <w:proofErr w:type="spellEnd"/>
          </w:p>
        </w:tc>
        <w:tc>
          <w:tcPr>
            <w:tcW w:w="2326" w:type="dxa"/>
            <w:tcBorders>
              <w:top w:val="single" w:sz="2" w:space="0" w:color="FFFFFF" w:themeColor="background1"/>
              <w:left w:val="single" w:sz="2" w:space="0" w:color="FFFFFF" w:themeColor="background1"/>
            </w:tcBorders>
            <w:vAlign w:val="center"/>
            <w:hideMark/>
          </w:tcPr>
          <w:p w14:paraId="07F78AA9" w14:textId="77777777" w:rsidR="006B3925" w:rsidRPr="00BC1BAD" w:rsidRDefault="006B3925" w:rsidP="00FA2663">
            <w:pPr>
              <w:pStyle w:val="NormalWeb"/>
              <w:jc w:val="center"/>
              <w:rPr>
                <w:color w:val="FFFFFF" w:themeColor="background1"/>
              </w:rPr>
            </w:pPr>
            <w:r w:rsidRPr="00BC1BAD">
              <w:rPr>
                <w:color w:val="FFFFFF" w:themeColor="background1"/>
              </w:rPr>
              <w:t xml:space="preserve">Rate per 100,000 </w:t>
            </w:r>
            <w:proofErr w:type="spellStart"/>
            <w:r w:rsidRPr="00BC1BAD">
              <w:rPr>
                <w:color w:val="FFFFFF" w:themeColor="background1"/>
              </w:rPr>
              <w:t>population</w:t>
            </w:r>
            <w:r w:rsidRPr="00F16744">
              <w:rPr>
                <w:color w:val="FFFFFF" w:themeColor="background1"/>
                <w:vertAlign w:val="superscript"/>
              </w:rPr>
              <w:t>c</w:t>
            </w:r>
            <w:proofErr w:type="spellEnd"/>
          </w:p>
        </w:tc>
      </w:tr>
      <w:tr w:rsidR="006B3925" w14:paraId="4D169BC4" w14:textId="77777777" w:rsidTr="00FA2663">
        <w:tblPrEx>
          <w:tblCellMar>
            <w:top w:w="57" w:type="dxa"/>
            <w:left w:w="57" w:type="dxa"/>
            <w:bottom w:w="57" w:type="dxa"/>
            <w:right w:w="57" w:type="dxa"/>
          </w:tblCellMar>
        </w:tblPrEx>
        <w:tc>
          <w:tcPr>
            <w:tcW w:w="0" w:type="auto"/>
            <w:hideMark/>
          </w:tcPr>
          <w:p w14:paraId="13371AAC" w14:textId="77777777" w:rsidR="006B3925" w:rsidRDefault="006B3925" w:rsidP="00FA2663">
            <w:pPr>
              <w:pStyle w:val="NormalWeb"/>
            </w:pPr>
            <w:r>
              <w:t>ACT</w:t>
            </w:r>
          </w:p>
        </w:tc>
        <w:tc>
          <w:tcPr>
            <w:tcW w:w="2246" w:type="dxa"/>
            <w:hideMark/>
          </w:tcPr>
          <w:p w14:paraId="4406F58D" w14:textId="77777777" w:rsidR="006B3925" w:rsidRDefault="006B3925" w:rsidP="00FA2663">
            <w:pPr>
              <w:pStyle w:val="NormalWeb"/>
              <w:jc w:val="center"/>
            </w:pPr>
            <w:r>
              <w:t>0</w:t>
            </w:r>
          </w:p>
        </w:tc>
        <w:tc>
          <w:tcPr>
            <w:tcW w:w="2268" w:type="dxa"/>
            <w:hideMark/>
          </w:tcPr>
          <w:p w14:paraId="5A06FD7C" w14:textId="77777777" w:rsidR="006B3925" w:rsidRDefault="006B3925" w:rsidP="00FA2663">
            <w:pPr>
              <w:pStyle w:val="NormalWeb"/>
              <w:jc w:val="center"/>
            </w:pPr>
            <w:r>
              <w:t>0</w:t>
            </w:r>
          </w:p>
        </w:tc>
        <w:tc>
          <w:tcPr>
            <w:tcW w:w="2127" w:type="dxa"/>
            <w:hideMark/>
          </w:tcPr>
          <w:p w14:paraId="59376107" w14:textId="77777777" w:rsidR="006B3925" w:rsidRDefault="006B3925" w:rsidP="00FA2663">
            <w:pPr>
              <w:pStyle w:val="NormalWeb"/>
              <w:jc w:val="center"/>
            </w:pPr>
            <w:r>
              <w:t>0</w:t>
            </w:r>
          </w:p>
        </w:tc>
        <w:tc>
          <w:tcPr>
            <w:tcW w:w="2326" w:type="dxa"/>
            <w:hideMark/>
          </w:tcPr>
          <w:p w14:paraId="3C92215C" w14:textId="77777777" w:rsidR="006B3925" w:rsidRDefault="006B3925" w:rsidP="00FA2663">
            <w:pPr>
              <w:pStyle w:val="NormalWeb"/>
              <w:jc w:val="center"/>
            </w:pPr>
            <w:r>
              <w:t>—</w:t>
            </w:r>
          </w:p>
        </w:tc>
      </w:tr>
      <w:tr w:rsidR="006B3925" w14:paraId="667D65B9"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776283C5" w14:textId="77777777" w:rsidR="006B3925" w:rsidRDefault="006B3925" w:rsidP="00FA2663">
            <w:pPr>
              <w:pStyle w:val="NormalWeb"/>
            </w:pPr>
            <w:r>
              <w:t>NSW</w:t>
            </w:r>
          </w:p>
        </w:tc>
        <w:tc>
          <w:tcPr>
            <w:tcW w:w="2246" w:type="dxa"/>
            <w:hideMark/>
          </w:tcPr>
          <w:p w14:paraId="1966070B" w14:textId="77777777" w:rsidR="006B3925" w:rsidRDefault="006B3925" w:rsidP="00FA2663">
            <w:pPr>
              <w:pStyle w:val="NormalWeb"/>
              <w:jc w:val="center"/>
            </w:pPr>
            <w:r>
              <w:t>2,159</w:t>
            </w:r>
          </w:p>
        </w:tc>
        <w:tc>
          <w:tcPr>
            <w:tcW w:w="2268" w:type="dxa"/>
            <w:hideMark/>
          </w:tcPr>
          <w:p w14:paraId="7A28E8D0" w14:textId="77777777" w:rsidR="006B3925" w:rsidRDefault="006B3925" w:rsidP="00FA2663">
            <w:pPr>
              <w:pStyle w:val="NormalWeb"/>
              <w:jc w:val="center"/>
            </w:pPr>
            <w:r>
              <w:t>1,017</w:t>
            </w:r>
          </w:p>
        </w:tc>
        <w:tc>
          <w:tcPr>
            <w:tcW w:w="2127" w:type="dxa"/>
            <w:hideMark/>
          </w:tcPr>
          <w:p w14:paraId="0E788022" w14:textId="77777777" w:rsidR="006B3925" w:rsidRDefault="006B3925" w:rsidP="00FA2663">
            <w:pPr>
              <w:pStyle w:val="NormalWeb"/>
              <w:jc w:val="center"/>
            </w:pPr>
            <w:r>
              <w:t>3,549</w:t>
            </w:r>
          </w:p>
        </w:tc>
        <w:tc>
          <w:tcPr>
            <w:tcW w:w="2326" w:type="dxa"/>
            <w:hideMark/>
          </w:tcPr>
          <w:p w14:paraId="3FD84289" w14:textId="0B14091B" w:rsidR="006B3925" w:rsidRDefault="006B3925" w:rsidP="00FA2663">
            <w:pPr>
              <w:pStyle w:val="NormalWeb"/>
              <w:jc w:val="center"/>
            </w:pPr>
            <w:r>
              <w:t>43.</w:t>
            </w:r>
            <w:r w:rsidR="00674C47">
              <w:t>5</w:t>
            </w:r>
          </w:p>
        </w:tc>
      </w:tr>
      <w:tr w:rsidR="006B3925" w14:paraId="587D0F55" w14:textId="77777777" w:rsidTr="00FA2663">
        <w:tblPrEx>
          <w:tblCellMar>
            <w:top w:w="57" w:type="dxa"/>
            <w:left w:w="57" w:type="dxa"/>
            <w:bottom w:w="57" w:type="dxa"/>
            <w:right w:w="57" w:type="dxa"/>
          </w:tblCellMar>
        </w:tblPrEx>
        <w:tc>
          <w:tcPr>
            <w:tcW w:w="0" w:type="auto"/>
            <w:hideMark/>
          </w:tcPr>
          <w:p w14:paraId="73B44FE2" w14:textId="77777777" w:rsidR="006B3925" w:rsidRDefault="006B3925" w:rsidP="00FA2663">
            <w:pPr>
              <w:pStyle w:val="NormalWeb"/>
            </w:pPr>
            <w:r>
              <w:t>NT</w:t>
            </w:r>
          </w:p>
        </w:tc>
        <w:tc>
          <w:tcPr>
            <w:tcW w:w="2246" w:type="dxa"/>
            <w:hideMark/>
          </w:tcPr>
          <w:p w14:paraId="67697D98" w14:textId="77777777" w:rsidR="006B3925" w:rsidRDefault="006B3925" w:rsidP="00FA2663">
            <w:pPr>
              <w:pStyle w:val="NormalWeb"/>
              <w:jc w:val="center"/>
            </w:pPr>
            <w:r>
              <w:t>0</w:t>
            </w:r>
          </w:p>
        </w:tc>
        <w:tc>
          <w:tcPr>
            <w:tcW w:w="2268" w:type="dxa"/>
            <w:hideMark/>
          </w:tcPr>
          <w:p w14:paraId="55043105" w14:textId="77777777" w:rsidR="006B3925" w:rsidRDefault="006B3925" w:rsidP="00FA2663">
            <w:pPr>
              <w:pStyle w:val="NormalWeb"/>
              <w:jc w:val="center"/>
            </w:pPr>
            <w:r>
              <w:t>2</w:t>
            </w:r>
          </w:p>
        </w:tc>
        <w:tc>
          <w:tcPr>
            <w:tcW w:w="2127" w:type="dxa"/>
            <w:hideMark/>
          </w:tcPr>
          <w:p w14:paraId="1CD96FE0" w14:textId="77777777" w:rsidR="006B3925" w:rsidRDefault="006B3925" w:rsidP="00FA2663">
            <w:pPr>
              <w:pStyle w:val="NormalWeb"/>
              <w:jc w:val="center"/>
            </w:pPr>
            <w:r>
              <w:t>10</w:t>
            </w:r>
          </w:p>
        </w:tc>
        <w:tc>
          <w:tcPr>
            <w:tcW w:w="2326" w:type="dxa"/>
            <w:hideMark/>
          </w:tcPr>
          <w:p w14:paraId="5CA59CCB" w14:textId="211AF3DE" w:rsidR="006B3925" w:rsidRDefault="006B3925" w:rsidP="00FA2663">
            <w:pPr>
              <w:pStyle w:val="NormalWeb"/>
              <w:jc w:val="center"/>
            </w:pPr>
            <w:r>
              <w:t>4.</w:t>
            </w:r>
            <w:r w:rsidR="00674C47">
              <w:t>1</w:t>
            </w:r>
          </w:p>
        </w:tc>
      </w:tr>
      <w:tr w:rsidR="006B3925" w14:paraId="3E6C7D4A"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0C205D2" w14:textId="77777777" w:rsidR="006B3925" w:rsidRDefault="006B3925" w:rsidP="00FA2663">
            <w:pPr>
              <w:pStyle w:val="NormalWeb"/>
            </w:pPr>
            <w:r>
              <w:t>Qld</w:t>
            </w:r>
          </w:p>
        </w:tc>
        <w:tc>
          <w:tcPr>
            <w:tcW w:w="2246" w:type="dxa"/>
            <w:hideMark/>
          </w:tcPr>
          <w:p w14:paraId="3E66303E" w14:textId="77777777" w:rsidR="006B3925" w:rsidRDefault="006B3925" w:rsidP="00FA2663">
            <w:pPr>
              <w:pStyle w:val="NormalWeb"/>
              <w:jc w:val="center"/>
            </w:pPr>
            <w:r>
              <w:t>31</w:t>
            </w:r>
          </w:p>
        </w:tc>
        <w:tc>
          <w:tcPr>
            <w:tcW w:w="2268" w:type="dxa"/>
            <w:hideMark/>
          </w:tcPr>
          <w:p w14:paraId="71558407" w14:textId="77777777" w:rsidR="006B3925" w:rsidRDefault="006B3925" w:rsidP="00FA2663">
            <w:pPr>
              <w:pStyle w:val="NormalWeb"/>
              <w:jc w:val="center"/>
            </w:pPr>
            <w:r>
              <w:t>9</w:t>
            </w:r>
          </w:p>
        </w:tc>
        <w:tc>
          <w:tcPr>
            <w:tcW w:w="2127" w:type="dxa"/>
            <w:hideMark/>
          </w:tcPr>
          <w:p w14:paraId="78B6E1A6" w14:textId="77777777" w:rsidR="006B3925" w:rsidRDefault="006B3925" w:rsidP="00FA2663">
            <w:pPr>
              <w:pStyle w:val="NormalWeb"/>
              <w:jc w:val="center"/>
            </w:pPr>
            <w:r>
              <w:t>99</w:t>
            </w:r>
          </w:p>
        </w:tc>
        <w:tc>
          <w:tcPr>
            <w:tcW w:w="2326" w:type="dxa"/>
            <w:hideMark/>
          </w:tcPr>
          <w:p w14:paraId="1AFB86BB" w14:textId="220A4139" w:rsidR="006B3925" w:rsidRDefault="006B3925" w:rsidP="00FA2663">
            <w:pPr>
              <w:pStyle w:val="NormalWeb"/>
              <w:jc w:val="center"/>
            </w:pPr>
            <w:r>
              <w:t>1.9</w:t>
            </w:r>
          </w:p>
        </w:tc>
      </w:tr>
      <w:tr w:rsidR="006B3925" w14:paraId="21A69E9A" w14:textId="77777777" w:rsidTr="00FA2663">
        <w:tblPrEx>
          <w:tblCellMar>
            <w:top w:w="57" w:type="dxa"/>
            <w:left w:w="57" w:type="dxa"/>
            <w:bottom w:w="57" w:type="dxa"/>
            <w:right w:w="57" w:type="dxa"/>
          </w:tblCellMar>
        </w:tblPrEx>
        <w:tc>
          <w:tcPr>
            <w:tcW w:w="0" w:type="auto"/>
            <w:hideMark/>
          </w:tcPr>
          <w:p w14:paraId="630F530D" w14:textId="77777777" w:rsidR="006B3925" w:rsidRDefault="006B3925" w:rsidP="00FA2663">
            <w:pPr>
              <w:pStyle w:val="NormalWeb"/>
            </w:pPr>
            <w:r>
              <w:t>SA</w:t>
            </w:r>
          </w:p>
        </w:tc>
        <w:tc>
          <w:tcPr>
            <w:tcW w:w="2246" w:type="dxa"/>
            <w:hideMark/>
          </w:tcPr>
          <w:p w14:paraId="5DF20B63" w14:textId="77777777" w:rsidR="006B3925" w:rsidRDefault="006B3925" w:rsidP="00FA2663">
            <w:pPr>
              <w:pStyle w:val="NormalWeb"/>
              <w:jc w:val="center"/>
            </w:pPr>
            <w:r>
              <w:t>21</w:t>
            </w:r>
          </w:p>
        </w:tc>
        <w:tc>
          <w:tcPr>
            <w:tcW w:w="2268" w:type="dxa"/>
            <w:hideMark/>
          </w:tcPr>
          <w:p w14:paraId="29ABC3DC" w14:textId="77777777" w:rsidR="006B3925" w:rsidRDefault="006B3925" w:rsidP="00FA2663">
            <w:pPr>
              <w:pStyle w:val="NormalWeb"/>
              <w:jc w:val="center"/>
            </w:pPr>
            <w:r>
              <w:t>0</w:t>
            </w:r>
          </w:p>
        </w:tc>
        <w:tc>
          <w:tcPr>
            <w:tcW w:w="2127" w:type="dxa"/>
            <w:hideMark/>
          </w:tcPr>
          <w:p w14:paraId="3D85A22B" w14:textId="77777777" w:rsidR="006B3925" w:rsidRDefault="006B3925" w:rsidP="00FA2663">
            <w:pPr>
              <w:pStyle w:val="NormalWeb"/>
              <w:jc w:val="center"/>
            </w:pPr>
            <w:r>
              <w:t>27</w:t>
            </w:r>
          </w:p>
        </w:tc>
        <w:tc>
          <w:tcPr>
            <w:tcW w:w="2326" w:type="dxa"/>
            <w:hideMark/>
          </w:tcPr>
          <w:p w14:paraId="4AAB1DE4" w14:textId="7E74FCAC" w:rsidR="006B3925" w:rsidRDefault="006B3925" w:rsidP="00FA2663">
            <w:pPr>
              <w:pStyle w:val="NormalWeb"/>
              <w:jc w:val="center"/>
            </w:pPr>
            <w:r>
              <w:t>1.5</w:t>
            </w:r>
          </w:p>
        </w:tc>
      </w:tr>
      <w:tr w:rsidR="006B3925" w14:paraId="4E5A70DA"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01F4D92" w14:textId="77777777" w:rsidR="006B3925" w:rsidRDefault="006B3925" w:rsidP="00FA2663">
            <w:pPr>
              <w:pStyle w:val="NormalWeb"/>
            </w:pPr>
            <w:r>
              <w:t>Tas.</w:t>
            </w:r>
          </w:p>
        </w:tc>
        <w:tc>
          <w:tcPr>
            <w:tcW w:w="2246" w:type="dxa"/>
            <w:hideMark/>
          </w:tcPr>
          <w:p w14:paraId="1BEF826E" w14:textId="77777777" w:rsidR="006B3925" w:rsidRDefault="006B3925" w:rsidP="00FA2663">
            <w:pPr>
              <w:pStyle w:val="NormalWeb"/>
              <w:jc w:val="center"/>
            </w:pPr>
            <w:r>
              <w:t>0</w:t>
            </w:r>
          </w:p>
        </w:tc>
        <w:tc>
          <w:tcPr>
            <w:tcW w:w="2268" w:type="dxa"/>
            <w:hideMark/>
          </w:tcPr>
          <w:p w14:paraId="4E6B65C4" w14:textId="77777777" w:rsidR="006B3925" w:rsidRDefault="006B3925" w:rsidP="00FA2663">
            <w:pPr>
              <w:pStyle w:val="NormalWeb"/>
              <w:jc w:val="center"/>
            </w:pPr>
            <w:r>
              <w:t>0</w:t>
            </w:r>
          </w:p>
        </w:tc>
        <w:tc>
          <w:tcPr>
            <w:tcW w:w="2127" w:type="dxa"/>
            <w:hideMark/>
          </w:tcPr>
          <w:p w14:paraId="092BE5B3" w14:textId="77777777" w:rsidR="006B3925" w:rsidRDefault="006B3925" w:rsidP="00FA2663">
            <w:pPr>
              <w:pStyle w:val="NormalWeb"/>
              <w:jc w:val="center"/>
            </w:pPr>
            <w:r>
              <w:t>0</w:t>
            </w:r>
          </w:p>
        </w:tc>
        <w:tc>
          <w:tcPr>
            <w:tcW w:w="2326" w:type="dxa"/>
            <w:hideMark/>
          </w:tcPr>
          <w:p w14:paraId="7417C12A" w14:textId="77777777" w:rsidR="006B3925" w:rsidRDefault="006B3925" w:rsidP="00FA2663">
            <w:pPr>
              <w:pStyle w:val="NormalWeb"/>
              <w:jc w:val="center"/>
            </w:pPr>
            <w:r>
              <w:t>—</w:t>
            </w:r>
          </w:p>
        </w:tc>
      </w:tr>
      <w:tr w:rsidR="006B3925" w14:paraId="3CE81BD8" w14:textId="77777777" w:rsidTr="00FA2663">
        <w:tblPrEx>
          <w:tblCellMar>
            <w:top w:w="57" w:type="dxa"/>
            <w:left w:w="57" w:type="dxa"/>
            <w:bottom w:w="57" w:type="dxa"/>
            <w:right w:w="57" w:type="dxa"/>
          </w:tblCellMar>
        </w:tblPrEx>
        <w:tc>
          <w:tcPr>
            <w:tcW w:w="0" w:type="auto"/>
            <w:hideMark/>
          </w:tcPr>
          <w:p w14:paraId="7EA83A20" w14:textId="77777777" w:rsidR="006B3925" w:rsidRDefault="006B3925" w:rsidP="00FA2663">
            <w:pPr>
              <w:pStyle w:val="NormalWeb"/>
            </w:pPr>
            <w:r>
              <w:t>Vic.</w:t>
            </w:r>
          </w:p>
        </w:tc>
        <w:tc>
          <w:tcPr>
            <w:tcW w:w="2246" w:type="dxa"/>
            <w:hideMark/>
          </w:tcPr>
          <w:p w14:paraId="16CAE326" w14:textId="77777777" w:rsidR="006B3925" w:rsidRDefault="006B3925" w:rsidP="00FA2663">
            <w:pPr>
              <w:pStyle w:val="NormalWeb"/>
              <w:jc w:val="center"/>
            </w:pPr>
            <w:r>
              <w:t>145</w:t>
            </w:r>
          </w:p>
        </w:tc>
        <w:tc>
          <w:tcPr>
            <w:tcW w:w="2268" w:type="dxa"/>
            <w:hideMark/>
          </w:tcPr>
          <w:p w14:paraId="0078F6A9" w14:textId="77777777" w:rsidR="006B3925" w:rsidRDefault="006B3925" w:rsidP="00FA2663">
            <w:pPr>
              <w:pStyle w:val="NormalWeb"/>
              <w:jc w:val="center"/>
            </w:pPr>
            <w:r>
              <w:t>72</w:t>
            </w:r>
          </w:p>
        </w:tc>
        <w:tc>
          <w:tcPr>
            <w:tcW w:w="2127" w:type="dxa"/>
            <w:hideMark/>
          </w:tcPr>
          <w:p w14:paraId="3B9B5A4E" w14:textId="77777777" w:rsidR="006B3925" w:rsidRDefault="006B3925" w:rsidP="00FA2663">
            <w:pPr>
              <w:pStyle w:val="NormalWeb"/>
              <w:jc w:val="center"/>
            </w:pPr>
            <w:r>
              <w:t>371</w:t>
            </w:r>
          </w:p>
        </w:tc>
        <w:tc>
          <w:tcPr>
            <w:tcW w:w="2326" w:type="dxa"/>
            <w:hideMark/>
          </w:tcPr>
          <w:p w14:paraId="51E442EB" w14:textId="690E51EF" w:rsidR="006B3925" w:rsidRDefault="006B3925" w:rsidP="00FA2663">
            <w:pPr>
              <w:pStyle w:val="NormalWeb"/>
              <w:jc w:val="center"/>
            </w:pPr>
            <w:r>
              <w:t>5.5</w:t>
            </w:r>
          </w:p>
        </w:tc>
      </w:tr>
      <w:tr w:rsidR="006B3925" w14:paraId="3EA782AE"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F810B94" w14:textId="77777777" w:rsidR="006B3925" w:rsidRDefault="006B3925" w:rsidP="00FA2663">
            <w:pPr>
              <w:pStyle w:val="NormalWeb"/>
            </w:pPr>
            <w:r>
              <w:t>WA</w:t>
            </w:r>
          </w:p>
        </w:tc>
        <w:tc>
          <w:tcPr>
            <w:tcW w:w="2246" w:type="dxa"/>
            <w:hideMark/>
          </w:tcPr>
          <w:p w14:paraId="04A60C01" w14:textId="77777777" w:rsidR="006B3925" w:rsidRDefault="006B3925" w:rsidP="00FA2663">
            <w:pPr>
              <w:pStyle w:val="NormalWeb"/>
              <w:jc w:val="center"/>
            </w:pPr>
            <w:r>
              <w:t>0</w:t>
            </w:r>
          </w:p>
        </w:tc>
        <w:tc>
          <w:tcPr>
            <w:tcW w:w="2268" w:type="dxa"/>
            <w:hideMark/>
          </w:tcPr>
          <w:p w14:paraId="712730AB" w14:textId="77777777" w:rsidR="006B3925" w:rsidRDefault="006B3925" w:rsidP="00FA2663">
            <w:pPr>
              <w:pStyle w:val="NormalWeb"/>
              <w:jc w:val="center"/>
            </w:pPr>
            <w:r>
              <w:t>3</w:t>
            </w:r>
          </w:p>
        </w:tc>
        <w:tc>
          <w:tcPr>
            <w:tcW w:w="2127" w:type="dxa"/>
            <w:hideMark/>
          </w:tcPr>
          <w:p w14:paraId="0782F3B4" w14:textId="77777777" w:rsidR="006B3925" w:rsidRDefault="006B3925" w:rsidP="00FA2663">
            <w:pPr>
              <w:pStyle w:val="NormalWeb"/>
              <w:jc w:val="center"/>
            </w:pPr>
            <w:r>
              <w:t>15</w:t>
            </w:r>
          </w:p>
        </w:tc>
        <w:tc>
          <w:tcPr>
            <w:tcW w:w="2326" w:type="dxa"/>
            <w:hideMark/>
          </w:tcPr>
          <w:p w14:paraId="45CC034D" w14:textId="37B22607" w:rsidR="006B3925" w:rsidRDefault="006B3925" w:rsidP="00FA2663">
            <w:pPr>
              <w:pStyle w:val="NormalWeb"/>
              <w:jc w:val="center"/>
            </w:pPr>
            <w:r>
              <w:t>0.</w:t>
            </w:r>
            <w:r w:rsidR="00674C47">
              <w:t>6</w:t>
            </w:r>
          </w:p>
        </w:tc>
      </w:tr>
      <w:tr w:rsidR="006B3925" w:rsidRPr="00BC1BAD" w14:paraId="6789D6C6" w14:textId="77777777" w:rsidTr="00FA2663">
        <w:tblPrEx>
          <w:tblCellMar>
            <w:top w:w="57" w:type="dxa"/>
            <w:left w:w="57" w:type="dxa"/>
            <w:bottom w:w="57" w:type="dxa"/>
            <w:right w:w="57" w:type="dxa"/>
          </w:tblCellMar>
        </w:tblPrEx>
        <w:tc>
          <w:tcPr>
            <w:tcW w:w="0" w:type="auto"/>
            <w:shd w:val="clear" w:color="auto" w:fill="FDE9D9" w:themeFill="accent6" w:themeFillTint="33"/>
            <w:hideMark/>
          </w:tcPr>
          <w:p w14:paraId="3B4D21A8" w14:textId="77777777" w:rsidR="006B3925" w:rsidRPr="00BC1BAD" w:rsidRDefault="006B3925" w:rsidP="00FA2663">
            <w:pPr>
              <w:pStyle w:val="NormalWeb"/>
              <w:rPr>
                <w:b/>
                <w:bCs/>
              </w:rPr>
            </w:pPr>
            <w:r w:rsidRPr="00BC1BAD">
              <w:rPr>
                <w:b/>
                <w:bCs/>
              </w:rPr>
              <w:t>Australia</w:t>
            </w:r>
          </w:p>
        </w:tc>
        <w:tc>
          <w:tcPr>
            <w:tcW w:w="2246" w:type="dxa"/>
            <w:shd w:val="clear" w:color="auto" w:fill="FDE9D9" w:themeFill="accent6" w:themeFillTint="33"/>
            <w:hideMark/>
          </w:tcPr>
          <w:p w14:paraId="1910F8B5" w14:textId="77777777" w:rsidR="006B3925" w:rsidRPr="00BC1BAD" w:rsidRDefault="006B3925" w:rsidP="00FA2663">
            <w:pPr>
              <w:pStyle w:val="NormalWeb"/>
              <w:jc w:val="center"/>
              <w:rPr>
                <w:b/>
                <w:bCs/>
              </w:rPr>
            </w:pPr>
            <w:r w:rsidRPr="00BC1BAD">
              <w:rPr>
                <w:b/>
                <w:bCs/>
              </w:rPr>
              <w:t>2,356</w:t>
            </w:r>
          </w:p>
        </w:tc>
        <w:tc>
          <w:tcPr>
            <w:tcW w:w="2268" w:type="dxa"/>
            <w:shd w:val="clear" w:color="auto" w:fill="FDE9D9" w:themeFill="accent6" w:themeFillTint="33"/>
            <w:hideMark/>
          </w:tcPr>
          <w:p w14:paraId="3B2206F4" w14:textId="77777777" w:rsidR="006B3925" w:rsidRPr="00BC1BAD" w:rsidRDefault="006B3925" w:rsidP="00FA2663">
            <w:pPr>
              <w:pStyle w:val="NormalWeb"/>
              <w:jc w:val="center"/>
              <w:rPr>
                <w:b/>
                <w:bCs/>
              </w:rPr>
            </w:pPr>
            <w:r w:rsidRPr="00BC1BAD">
              <w:rPr>
                <w:b/>
                <w:bCs/>
              </w:rPr>
              <w:t>1,103</w:t>
            </w:r>
          </w:p>
        </w:tc>
        <w:tc>
          <w:tcPr>
            <w:tcW w:w="2127" w:type="dxa"/>
            <w:shd w:val="clear" w:color="auto" w:fill="FDE9D9" w:themeFill="accent6" w:themeFillTint="33"/>
            <w:hideMark/>
          </w:tcPr>
          <w:p w14:paraId="23719842" w14:textId="77777777" w:rsidR="006B3925" w:rsidRPr="00BC1BAD" w:rsidRDefault="006B3925" w:rsidP="00FA2663">
            <w:pPr>
              <w:pStyle w:val="NormalWeb"/>
              <w:jc w:val="center"/>
              <w:rPr>
                <w:b/>
                <w:bCs/>
              </w:rPr>
            </w:pPr>
            <w:r w:rsidRPr="00BC1BAD">
              <w:rPr>
                <w:b/>
                <w:bCs/>
              </w:rPr>
              <w:t>4,071</w:t>
            </w:r>
          </w:p>
        </w:tc>
        <w:tc>
          <w:tcPr>
            <w:tcW w:w="2326" w:type="dxa"/>
            <w:shd w:val="clear" w:color="auto" w:fill="FDE9D9" w:themeFill="accent6" w:themeFillTint="33"/>
            <w:hideMark/>
          </w:tcPr>
          <w:p w14:paraId="57EAD8BE" w14:textId="174E86E7" w:rsidR="006B3925" w:rsidRPr="00BC1BAD" w:rsidRDefault="006B3925" w:rsidP="00FA2663">
            <w:pPr>
              <w:pStyle w:val="NormalWeb"/>
              <w:jc w:val="center"/>
              <w:rPr>
                <w:b/>
                <w:bCs/>
              </w:rPr>
            </w:pPr>
            <w:r w:rsidRPr="00BC1BAD">
              <w:rPr>
                <w:b/>
                <w:bCs/>
              </w:rPr>
              <w:t>15.</w:t>
            </w:r>
            <w:r w:rsidR="00674C47">
              <w:rPr>
                <w:b/>
                <w:bCs/>
              </w:rPr>
              <w:t>9</w:t>
            </w:r>
          </w:p>
        </w:tc>
      </w:tr>
    </w:tbl>
    <w:p w14:paraId="2E015D65" w14:textId="77777777" w:rsidR="006B3925" w:rsidRDefault="006B3925" w:rsidP="006B3925">
      <w:pPr>
        <w:pStyle w:val="CDIfootnotes"/>
        <w:rPr>
          <w:lang w:val="en-GB"/>
        </w:rPr>
      </w:pPr>
      <w:r>
        <w:rPr>
          <w:lang w:val="en-GB"/>
        </w:rPr>
        <w:t>a</w:t>
      </w:r>
      <w:r>
        <w:rPr>
          <w:lang w:val="en-GB"/>
        </w:rPr>
        <w:tab/>
        <w:t>Source: NNDSS, data extract from 3 August 2021 for notifications to 1 August 2021.</w:t>
      </w:r>
    </w:p>
    <w:p w14:paraId="0568C203" w14:textId="77777777" w:rsidR="006B3925" w:rsidRDefault="006B3925" w:rsidP="006B3925">
      <w:pPr>
        <w:pStyle w:val="CDIfootnotes"/>
        <w:rPr>
          <w:lang w:val="en-GB"/>
        </w:rPr>
      </w:pPr>
      <w:r>
        <w:rPr>
          <w:lang w:val="en-GB"/>
        </w:rPr>
        <w:t>b</w:t>
      </w:r>
      <w:r>
        <w:rPr>
          <w:lang w:val="en-GB"/>
        </w:rPr>
        <w:tab/>
        <w:t>This total does not include cases that are under initial investigation.</w:t>
      </w:r>
    </w:p>
    <w:p w14:paraId="1516BAD3" w14:textId="676F228C" w:rsidR="00E77137" w:rsidRPr="006B3925" w:rsidRDefault="006B3925" w:rsidP="006B3925">
      <w:pPr>
        <w:pStyle w:val="CDIfootnotes"/>
        <w:rPr>
          <w:lang w:val="en-GB"/>
        </w:rPr>
      </w:pPr>
      <w:r>
        <w:rPr>
          <w:lang w:val="en-GB"/>
        </w:rPr>
        <w:t>c</w:t>
      </w:r>
      <w:r>
        <w:rPr>
          <w:lang w:val="en-GB"/>
        </w:rPr>
        <w:tab/>
        <w:t>Population data based on Australian Bureau of Statistics (ABS) Estimated Resident Population (ERP) as at June 2020.</w:t>
      </w:r>
    </w:p>
    <w:p w14:paraId="58F87144" w14:textId="77777777" w:rsidR="006B3925" w:rsidRPr="00BC1BAD" w:rsidRDefault="006B3925" w:rsidP="006B3925">
      <w:pPr>
        <w:pStyle w:val="CDIFigures"/>
      </w:pPr>
      <w:r w:rsidRPr="00BC1BAD">
        <w:rPr>
          <w:rStyle w:val="Strong"/>
          <w:b/>
          <w:bCs w:val="0"/>
        </w:rPr>
        <w:t xml:space="preserve">Table 3: Days since last </w:t>
      </w:r>
      <w:proofErr w:type="gramStart"/>
      <w:r w:rsidRPr="00BC1BAD">
        <w:rPr>
          <w:rStyle w:val="Strong"/>
          <w:b/>
          <w:bCs w:val="0"/>
        </w:rPr>
        <w:t>locally-acquired</w:t>
      </w:r>
      <w:proofErr w:type="gramEnd"/>
      <w:r w:rsidRPr="00BC1BAD">
        <w:rPr>
          <w:rStyle w:val="Strong"/>
          <w:b/>
          <w:bCs w:val="0"/>
        </w:rPr>
        <w:t xml:space="preserve"> COVID-19 case (source unknown and source known), by jurisdiction and diagnosis date, 1 August 2021</w:t>
      </w:r>
      <w:r w:rsidRPr="00BC1BAD">
        <w:rPr>
          <w:rStyle w:val="Strong"/>
          <w:b/>
          <w:bCs w:val="0"/>
          <w:vertAlign w:val="superscript"/>
        </w:rPr>
        <w:t>a</w:t>
      </w:r>
    </w:p>
    <w:tbl>
      <w:tblPr>
        <w:tblStyle w:val="CDI-StandardTable"/>
        <w:tblW w:w="0" w:type="auto"/>
        <w:tblLook w:val="04A0" w:firstRow="1" w:lastRow="0" w:firstColumn="1" w:lastColumn="0" w:noHBand="0" w:noVBand="1"/>
        <w:tblDescription w:val="Table 3 shows the number of days elapsed since the last locally-acquired COVID-19 case with known source, and with unknown source, by jurisdiction. As at the end of the current reporting period, it had been zero days since the most recently-notified locally-acquired case of unknown source, in New South Wales, with only Queensland (19 days since most recent locally-acquired case of unknown source) and Victoria (62 days) also reporting such cases in the year to date. As of 1 August 2021, it had been zero days also since the most recent locally-acquired case with source known (in both New South Wales and Queensland); other jurisdictions reporting locally-acquired cases of known source since the start of the year were Victoria (1 day since most recent locally-acquired case of known source), South Australia (4 days), the Northern Territory (26 days) and Western Australia (30 days). It has been more than one year since the Australian Capital Territory and Tasmania last recorded a locally-acquired case with known source, while more than 350 days have elapsed since the last locally-acquired case of unknown source in the Australian Capital Territory, the Northern Territory, South Australia, Tasmania and Western Australia."/>
      </w:tblPr>
      <w:tblGrid>
        <w:gridCol w:w="1282"/>
        <w:gridCol w:w="2289"/>
        <w:gridCol w:w="2290"/>
        <w:gridCol w:w="2289"/>
        <w:gridCol w:w="2290"/>
      </w:tblGrid>
      <w:tr w:rsidR="006B3925" w:rsidRPr="00BC1BAD" w14:paraId="13BD2D06" w14:textId="77777777" w:rsidTr="00FA266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4E1E2AA6" w14:textId="77777777" w:rsidR="006B3925" w:rsidRPr="00BC1BAD" w:rsidRDefault="006B3925" w:rsidP="00FA2663">
            <w:pPr>
              <w:pStyle w:val="NormalWeb"/>
              <w:rPr>
                <w:color w:val="FFFFFF" w:themeColor="background1"/>
              </w:rPr>
            </w:pPr>
            <w:r w:rsidRPr="00BC1BAD">
              <w:rPr>
                <w:color w:val="FFFFFF" w:themeColor="background1"/>
              </w:rPr>
              <w:t>Jurisdiction</w:t>
            </w:r>
          </w:p>
        </w:tc>
        <w:tc>
          <w:tcPr>
            <w:tcW w:w="4579"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14:paraId="76570030" w14:textId="77777777" w:rsidR="006B3925" w:rsidRPr="00BC1BAD" w:rsidRDefault="006B3925" w:rsidP="00FA2663">
            <w:pPr>
              <w:pStyle w:val="NormalWeb"/>
              <w:jc w:val="center"/>
              <w:rPr>
                <w:color w:val="FFFFFF" w:themeColor="background1"/>
              </w:rPr>
            </w:pPr>
            <w:r w:rsidRPr="00BC1BAD">
              <w:rPr>
                <w:color w:val="FFFFFF" w:themeColor="background1"/>
              </w:rPr>
              <w:t xml:space="preserve">Locally acquired — source </w:t>
            </w:r>
            <w:proofErr w:type="spellStart"/>
            <w:r w:rsidRPr="00BC1BAD">
              <w:rPr>
                <w:color w:val="FFFFFF" w:themeColor="background1"/>
              </w:rPr>
              <w:t>unknown</w:t>
            </w:r>
            <w:r w:rsidRPr="00BC1BAD">
              <w:rPr>
                <w:color w:val="FFFFFF" w:themeColor="background1"/>
                <w:vertAlign w:val="superscript"/>
              </w:rPr>
              <w:t>b</w:t>
            </w:r>
            <w:proofErr w:type="spellEnd"/>
          </w:p>
        </w:tc>
        <w:tc>
          <w:tcPr>
            <w:tcW w:w="4579" w:type="dxa"/>
            <w:gridSpan w:val="2"/>
            <w:tcBorders>
              <w:left w:val="single" w:sz="2" w:space="0" w:color="FFFFFF" w:themeColor="background1"/>
              <w:bottom w:val="single" w:sz="2" w:space="0" w:color="FFFFFF" w:themeColor="background1"/>
            </w:tcBorders>
            <w:vAlign w:val="center"/>
            <w:hideMark/>
          </w:tcPr>
          <w:p w14:paraId="02AF2222" w14:textId="77777777" w:rsidR="006B3925" w:rsidRPr="00BC1BAD" w:rsidRDefault="006B3925" w:rsidP="00FA2663">
            <w:pPr>
              <w:pStyle w:val="NormalWeb"/>
              <w:jc w:val="center"/>
              <w:rPr>
                <w:color w:val="FFFFFF" w:themeColor="background1"/>
              </w:rPr>
            </w:pPr>
            <w:r w:rsidRPr="00BC1BAD">
              <w:rPr>
                <w:color w:val="FFFFFF" w:themeColor="background1"/>
              </w:rPr>
              <w:t xml:space="preserve">Locally acquired — source </w:t>
            </w:r>
            <w:proofErr w:type="spellStart"/>
            <w:r w:rsidRPr="00BC1BAD">
              <w:rPr>
                <w:color w:val="FFFFFF" w:themeColor="background1"/>
              </w:rPr>
              <w:t>known</w:t>
            </w:r>
            <w:r w:rsidRPr="00BC1BAD">
              <w:rPr>
                <w:color w:val="FFFFFF" w:themeColor="background1"/>
                <w:vertAlign w:val="superscript"/>
              </w:rPr>
              <w:t>b</w:t>
            </w:r>
            <w:proofErr w:type="spellEnd"/>
          </w:p>
        </w:tc>
      </w:tr>
      <w:tr w:rsidR="006B3925" w:rsidRPr="00BC1BAD" w14:paraId="79D64F0E" w14:textId="77777777" w:rsidTr="00FA266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5B74FB46" w14:textId="77777777" w:rsidR="006B3925" w:rsidRPr="00BC1BAD" w:rsidRDefault="006B3925" w:rsidP="00FA2663">
            <w:pPr>
              <w:jc w:val="center"/>
              <w:rPr>
                <w:color w:val="FFFFFF" w:themeColor="background1"/>
                <w:sz w:val="24"/>
                <w:szCs w:val="24"/>
              </w:rPr>
            </w:pPr>
          </w:p>
        </w:tc>
        <w:tc>
          <w:tcPr>
            <w:tcW w:w="2289" w:type="dxa"/>
            <w:tcBorders>
              <w:top w:val="single" w:sz="2" w:space="0" w:color="FFFFFF" w:themeColor="background1"/>
              <w:left w:val="single" w:sz="2" w:space="0" w:color="FFFFFF" w:themeColor="background1"/>
              <w:right w:val="single" w:sz="2" w:space="0" w:color="FFFFFF" w:themeColor="background1"/>
            </w:tcBorders>
            <w:vAlign w:val="center"/>
            <w:hideMark/>
          </w:tcPr>
          <w:p w14:paraId="31D890D6" w14:textId="77777777" w:rsidR="006B3925" w:rsidRPr="00BC1BAD" w:rsidRDefault="006B3925" w:rsidP="00FA2663">
            <w:pPr>
              <w:pStyle w:val="NormalWeb"/>
              <w:jc w:val="center"/>
              <w:rPr>
                <w:color w:val="FFFFFF" w:themeColor="background1"/>
              </w:rPr>
            </w:pPr>
            <w:r w:rsidRPr="00BC1BAD">
              <w:rPr>
                <w:color w:val="FFFFFF" w:themeColor="background1"/>
              </w:rPr>
              <w:t>Date of last case</w:t>
            </w:r>
          </w:p>
        </w:tc>
        <w:tc>
          <w:tcPr>
            <w:tcW w:w="2290" w:type="dxa"/>
            <w:tcBorders>
              <w:top w:val="single" w:sz="2" w:space="0" w:color="FFFFFF" w:themeColor="background1"/>
              <w:left w:val="single" w:sz="2" w:space="0" w:color="FFFFFF" w:themeColor="background1"/>
              <w:right w:val="single" w:sz="2" w:space="0" w:color="FFFFFF" w:themeColor="background1"/>
            </w:tcBorders>
            <w:vAlign w:val="center"/>
            <w:hideMark/>
          </w:tcPr>
          <w:p w14:paraId="5C392480" w14:textId="77777777" w:rsidR="006B3925" w:rsidRPr="00BC1BAD" w:rsidRDefault="006B3925" w:rsidP="00FA2663">
            <w:pPr>
              <w:pStyle w:val="NormalWeb"/>
              <w:jc w:val="center"/>
              <w:rPr>
                <w:color w:val="FFFFFF" w:themeColor="background1"/>
              </w:rPr>
            </w:pPr>
            <w:r w:rsidRPr="00BC1BAD">
              <w:rPr>
                <w:color w:val="FFFFFF" w:themeColor="background1"/>
              </w:rPr>
              <w:t>Days since last case</w:t>
            </w:r>
          </w:p>
        </w:tc>
        <w:tc>
          <w:tcPr>
            <w:tcW w:w="2289" w:type="dxa"/>
            <w:tcBorders>
              <w:top w:val="single" w:sz="2" w:space="0" w:color="FFFFFF" w:themeColor="background1"/>
              <w:left w:val="single" w:sz="2" w:space="0" w:color="FFFFFF" w:themeColor="background1"/>
              <w:right w:val="single" w:sz="2" w:space="0" w:color="FFFFFF" w:themeColor="background1"/>
            </w:tcBorders>
            <w:vAlign w:val="center"/>
            <w:hideMark/>
          </w:tcPr>
          <w:p w14:paraId="173A3CA3" w14:textId="77777777" w:rsidR="006B3925" w:rsidRPr="00BC1BAD" w:rsidRDefault="006B3925" w:rsidP="00FA2663">
            <w:pPr>
              <w:pStyle w:val="NormalWeb"/>
              <w:jc w:val="center"/>
              <w:rPr>
                <w:color w:val="FFFFFF" w:themeColor="background1"/>
              </w:rPr>
            </w:pPr>
            <w:r w:rsidRPr="00BC1BAD">
              <w:rPr>
                <w:color w:val="FFFFFF" w:themeColor="background1"/>
              </w:rPr>
              <w:t>Date of last case</w:t>
            </w:r>
          </w:p>
        </w:tc>
        <w:tc>
          <w:tcPr>
            <w:tcW w:w="2290" w:type="dxa"/>
            <w:tcBorders>
              <w:top w:val="single" w:sz="2" w:space="0" w:color="FFFFFF" w:themeColor="background1"/>
              <w:left w:val="single" w:sz="2" w:space="0" w:color="FFFFFF" w:themeColor="background1"/>
            </w:tcBorders>
            <w:vAlign w:val="center"/>
            <w:hideMark/>
          </w:tcPr>
          <w:p w14:paraId="3034EF8A" w14:textId="77777777" w:rsidR="006B3925" w:rsidRPr="00BC1BAD" w:rsidRDefault="006B3925" w:rsidP="00FA2663">
            <w:pPr>
              <w:pStyle w:val="NormalWeb"/>
              <w:jc w:val="center"/>
              <w:rPr>
                <w:color w:val="FFFFFF" w:themeColor="background1"/>
              </w:rPr>
            </w:pPr>
            <w:r w:rsidRPr="00BC1BAD">
              <w:rPr>
                <w:color w:val="FFFFFF" w:themeColor="background1"/>
              </w:rPr>
              <w:t>Days since last case</w:t>
            </w:r>
          </w:p>
        </w:tc>
      </w:tr>
      <w:tr w:rsidR="006B3925" w14:paraId="5C538D27" w14:textId="77777777" w:rsidTr="00FA2663">
        <w:tblPrEx>
          <w:tblCellMar>
            <w:top w:w="57" w:type="dxa"/>
            <w:left w:w="57" w:type="dxa"/>
            <w:bottom w:w="57" w:type="dxa"/>
            <w:right w:w="57" w:type="dxa"/>
          </w:tblCellMar>
        </w:tblPrEx>
        <w:tc>
          <w:tcPr>
            <w:tcW w:w="0" w:type="auto"/>
            <w:hideMark/>
          </w:tcPr>
          <w:p w14:paraId="2DA3C8B1" w14:textId="77777777" w:rsidR="006B3925" w:rsidRDefault="006B3925" w:rsidP="00FA2663">
            <w:pPr>
              <w:pStyle w:val="NormalWeb"/>
            </w:pPr>
            <w:r>
              <w:t>ACT</w:t>
            </w:r>
          </w:p>
        </w:tc>
        <w:tc>
          <w:tcPr>
            <w:tcW w:w="2289" w:type="dxa"/>
            <w:hideMark/>
          </w:tcPr>
          <w:p w14:paraId="7F570AD5" w14:textId="77777777" w:rsidR="006B3925" w:rsidRDefault="006B3925" w:rsidP="00FA2663">
            <w:pPr>
              <w:pStyle w:val="NormalWeb"/>
              <w:jc w:val="center"/>
            </w:pPr>
            <w:r>
              <w:t>21 March 2020</w:t>
            </w:r>
          </w:p>
        </w:tc>
        <w:tc>
          <w:tcPr>
            <w:tcW w:w="2290" w:type="dxa"/>
            <w:hideMark/>
          </w:tcPr>
          <w:p w14:paraId="49479A18" w14:textId="77777777" w:rsidR="006B3925" w:rsidRDefault="006B3925" w:rsidP="00FA2663">
            <w:pPr>
              <w:pStyle w:val="NormalWeb"/>
              <w:jc w:val="center"/>
            </w:pPr>
            <w:r>
              <w:t>498</w:t>
            </w:r>
          </w:p>
        </w:tc>
        <w:tc>
          <w:tcPr>
            <w:tcW w:w="2289" w:type="dxa"/>
            <w:hideMark/>
          </w:tcPr>
          <w:p w14:paraId="5AEF695A" w14:textId="77777777" w:rsidR="006B3925" w:rsidRDefault="006B3925" w:rsidP="00FA2663">
            <w:pPr>
              <w:pStyle w:val="NormalWeb"/>
              <w:jc w:val="center"/>
            </w:pPr>
            <w:r>
              <w:t>7 July 2020</w:t>
            </w:r>
          </w:p>
        </w:tc>
        <w:tc>
          <w:tcPr>
            <w:tcW w:w="2290" w:type="dxa"/>
            <w:hideMark/>
          </w:tcPr>
          <w:p w14:paraId="2DA98B58" w14:textId="77777777" w:rsidR="006B3925" w:rsidRDefault="006B3925" w:rsidP="00FA2663">
            <w:pPr>
              <w:pStyle w:val="NormalWeb"/>
              <w:jc w:val="center"/>
            </w:pPr>
            <w:r>
              <w:t>390</w:t>
            </w:r>
          </w:p>
        </w:tc>
      </w:tr>
      <w:tr w:rsidR="006B3925" w14:paraId="79621D6A"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C5AF760" w14:textId="77777777" w:rsidR="006B3925" w:rsidRDefault="006B3925" w:rsidP="00FA2663">
            <w:pPr>
              <w:pStyle w:val="NormalWeb"/>
            </w:pPr>
            <w:r>
              <w:t>NSW</w:t>
            </w:r>
          </w:p>
        </w:tc>
        <w:tc>
          <w:tcPr>
            <w:tcW w:w="2289" w:type="dxa"/>
            <w:hideMark/>
          </w:tcPr>
          <w:p w14:paraId="18D0C810" w14:textId="77777777" w:rsidR="006B3925" w:rsidRDefault="006B3925" w:rsidP="00FA2663">
            <w:pPr>
              <w:pStyle w:val="NormalWeb"/>
              <w:jc w:val="center"/>
            </w:pPr>
            <w:r>
              <w:t>1 August 2021</w:t>
            </w:r>
          </w:p>
        </w:tc>
        <w:tc>
          <w:tcPr>
            <w:tcW w:w="2290" w:type="dxa"/>
            <w:hideMark/>
          </w:tcPr>
          <w:p w14:paraId="1C97CB68" w14:textId="77777777" w:rsidR="006B3925" w:rsidRDefault="006B3925" w:rsidP="00FA2663">
            <w:pPr>
              <w:pStyle w:val="NormalWeb"/>
              <w:jc w:val="center"/>
            </w:pPr>
            <w:r>
              <w:t>0</w:t>
            </w:r>
          </w:p>
        </w:tc>
        <w:tc>
          <w:tcPr>
            <w:tcW w:w="2289" w:type="dxa"/>
            <w:hideMark/>
          </w:tcPr>
          <w:p w14:paraId="06631419" w14:textId="77777777" w:rsidR="006B3925" w:rsidRDefault="006B3925" w:rsidP="00FA2663">
            <w:pPr>
              <w:pStyle w:val="NormalWeb"/>
              <w:jc w:val="center"/>
            </w:pPr>
            <w:r>
              <w:t>1 August 2021</w:t>
            </w:r>
          </w:p>
        </w:tc>
        <w:tc>
          <w:tcPr>
            <w:tcW w:w="2290" w:type="dxa"/>
            <w:hideMark/>
          </w:tcPr>
          <w:p w14:paraId="2206C938" w14:textId="77777777" w:rsidR="006B3925" w:rsidRDefault="006B3925" w:rsidP="00FA2663">
            <w:pPr>
              <w:pStyle w:val="NormalWeb"/>
              <w:jc w:val="center"/>
            </w:pPr>
            <w:r>
              <w:t>0</w:t>
            </w:r>
          </w:p>
        </w:tc>
      </w:tr>
      <w:tr w:rsidR="006B3925" w14:paraId="74D428B9" w14:textId="77777777" w:rsidTr="00FA2663">
        <w:tblPrEx>
          <w:tblCellMar>
            <w:top w:w="57" w:type="dxa"/>
            <w:left w:w="57" w:type="dxa"/>
            <w:bottom w:w="57" w:type="dxa"/>
            <w:right w:w="57" w:type="dxa"/>
          </w:tblCellMar>
        </w:tblPrEx>
        <w:tc>
          <w:tcPr>
            <w:tcW w:w="0" w:type="auto"/>
            <w:hideMark/>
          </w:tcPr>
          <w:p w14:paraId="440F74ED" w14:textId="77777777" w:rsidR="006B3925" w:rsidRDefault="006B3925" w:rsidP="00FA2663">
            <w:pPr>
              <w:pStyle w:val="NormalWeb"/>
            </w:pPr>
            <w:r>
              <w:t>NT</w:t>
            </w:r>
          </w:p>
        </w:tc>
        <w:tc>
          <w:tcPr>
            <w:tcW w:w="2289" w:type="dxa"/>
            <w:hideMark/>
          </w:tcPr>
          <w:p w14:paraId="20058709" w14:textId="77777777" w:rsidR="006B3925" w:rsidRDefault="006B3925" w:rsidP="00FA2663">
            <w:pPr>
              <w:pStyle w:val="NormalWeb"/>
              <w:jc w:val="center"/>
            </w:pPr>
            <w:proofErr w:type="spellStart"/>
            <w:r>
              <w:t>NA</w:t>
            </w:r>
            <w:r w:rsidRPr="00BC1BAD">
              <w:rPr>
                <w:vertAlign w:val="superscript"/>
              </w:rPr>
              <w:t>c</w:t>
            </w:r>
            <w:proofErr w:type="spellEnd"/>
          </w:p>
        </w:tc>
        <w:tc>
          <w:tcPr>
            <w:tcW w:w="2290" w:type="dxa"/>
            <w:hideMark/>
          </w:tcPr>
          <w:p w14:paraId="0F1A1D12" w14:textId="77777777" w:rsidR="006B3925" w:rsidRDefault="006B3925" w:rsidP="00FA2663">
            <w:pPr>
              <w:pStyle w:val="NormalWeb"/>
              <w:jc w:val="center"/>
            </w:pPr>
            <w:proofErr w:type="spellStart"/>
            <w:r>
              <w:t>NA</w:t>
            </w:r>
            <w:r w:rsidRPr="00BC1BAD">
              <w:rPr>
                <w:vertAlign w:val="superscript"/>
              </w:rPr>
              <w:t>c</w:t>
            </w:r>
            <w:proofErr w:type="spellEnd"/>
          </w:p>
        </w:tc>
        <w:tc>
          <w:tcPr>
            <w:tcW w:w="2289" w:type="dxa"/>
            <w:hideMark/>
          </w:tcPr>
          <w:p w14:paraId="77D9E2E0" w14:textId="77777777" w:rsidR="006B3925" w:rsidRDefault="006B3925" w:rsidP="00FA2663">
            <w:pPr>
              <w:pStyle w:val="NormalWeb"/>
              <w:jc w:val="center"/>
            </w:pPr>
            <w:r>
              <w:t>6 July 2020</w:t>
            </w:r>
          </w:p>
        </w:tc>
        <w:tc>
          <w:tcPr>
            <w:tcW w:w="2290" w:type="dxa"/>
            <w:hideMark/>
          </w:tcPr>
          <w:p w14:paraId="7CE19313" w14:textId="77777777" w:rsidR="006B3925" w:rsidRDefault="006B3925" w:rsidP="00FA2663">
            <w:pPr>
              <w:pStyle w:val="NormalWeb"/>
              <w:jc w:val="center"/>
            </w:pPr>
            <w:r>
              <w:t>26</w:t>
            </w:r>
          </w:p>
        </w:tc>
      </w:tr>
      <w:tr w:rsidR="006B3925" w14:paraId="286A04D7"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A2B45E9" w14:textId="77777777" w:rsidR="006B3925" w:rsidRDefault="006B3925" w:rsidP="00FA2663">
            <w:pPr>
              <w:pStyle w:val="NormalWeb"/>
            </w:pPr>
            <w:r>
              <w:t>Qld</w:t>
            </w:r>
          </w:p>
        </w:tc>
        <w:tc>
          <w:tcPr>
            <w:tcW w:w="2289" w:type="dxa"/>
            <w:hideMark/>
          </w:tcPr>
          <w:p w14:paraId="3925A322" w14:textId="77777777" w:rsidR="006B3925" w:rsidRDefault="006B3925" w:rsidP="00FA2663">
            <w:pPr>
              <w:pStyle w:val="NormalWeb"/>
              <w:jc w:val="center"/>
            </w:pPr>
            <w:r>
              <w:t>13 July 2021</w:t>
            </w:r>
          </w:p>
        </w:tc>
        <w:tc>
          <w:tcPr>
            <w:tcW w:w="2290" w:type="dxa"/>
            <w:hideMark/>
          </w:tcPr>
          <w:p w14:paraId="73F01E9F" w14:textId="77777777" w:rsidR="006B3925" w:rsidRDefault="006B3925" w:rsidP="00FA2663">
            <w:pPr>
              <w:pStyle w:val="NormalWeb"/>
              <w:jc w:val="center"/>
            </w:pPr>
            <w:r>
              <w:t>19</w:t>
            </w:r>
          </w:p>
        </w:tc>
        <w:tc>
          <w:tcPr>
            <w:tcW w:w="2289" w:type="dxa"/>
            <w:hideMark/>
          </w:tcPr>
          <w:p w14:paraId="5DD3C0B5" w14:textId="77777777" w:rsidR="006B3925" w:rsidRDefault="006B3925" w:rsidP="00FA2663">
            <w:pPr>
              <w:pStyle w:val="NormalWeb"/>
              <w:jc w:val="center"/>
            </w:pPr>
            <w:r>
              <w:t>1 August 2021</w:t>
            </w:r>
          </w:p>
        </w:tc>
        <w:tc>
          <w:tcPr>
            <w:tcW w:w="2290" w:type="dxa"/>
            <w:hideMark/>
          </w:tcPr>
          <w:p w14:paraId="1F94BED7" w14:textId="77777777" w:rsidR="006B3925" w:rsidRDefault="006B3925" w:rsidP="00FA2663">
            <w:pPr>
              <w:pStyle w:val="NormalWeb"/>
              <w:jc w:val="center"/>
            </w:pPr>
            <w:r>
              <w:t>0</w:t>
            </w:r>
          </w:p>
        </w:tc>
      </w:tr>
      <w:tr w:rsidR="006B3925" w14:paraId="00B2977F" w14:textId="77777777" w:rsidTr="00FA2663">
        <w:tblPrEx>
          <w:tblCellMar>
            <w:top w:w="57" w:type="dxa"/>
            <w:left w:w="57" w:type="dxa"/>
            <w:bottom w:w="57" w:type="dxa"/>
            <w:right w:w="57" w:type="dxa"/>
          </w:tblCellMar>
        </w:tblPrEx>
        <w:tc>
          <w:tcPr>
            <w:tcW w:w="0" w:type="auto"/>
            <w:hideMark/>
          </w:tcPr>
          <w:p w14:paraId="06487191" w14:textId="77777777" w:rsidR="006B3925" w:rsidRDefault="006B3925" w:rsidP="00FA2663">
            <w:pPr>
              <w:pStyle w:val="NormalWeb"/>
            </w:pPr>
            <w:r>
              <w:t>SA</w:t>
            </w:r>
          </w:p>
        </w:tc>
        <w:tc>
          <w:tcPr>
            <w:tcW w:w="2289" w:type="dxa"/>
            <w:hideMark/>
          </w:tcPr>
          <w:p w14:paraId="243989C4" w14:textId="77777777" w:rsidR="006B3925" w:rsidRDefault="006B3925" w:rsidP="00FA2663">
            <w:pPr>
              <w:pStyle w:val="NormalWeb"/>
              <w:jc w:val="center"/>
            </w:pPr>
            <w:r>
              <w:t>24 March 2020</w:t>
            </w:r>
          </w:p>
        </w:tc>
        <w:tc>
          <w:tcPr>
            <w:tcW w:w="2290" w:type="dxa"/>
            <w:hideMark/>
          </w:tcPr>
          <w:p w14:paraId="4E66DF9F" w14:textId="77777777" w:rsidR="006B3925" w:rsidRDefault="006B3925" w:rsidP="00FA2663">
            <w:pPr>
              <w:pStyle w:val="NormalWeb"/>
              <w:jc w:val="center"/>
            </w:pPr>
            <w:r>
              <w:t>495</w:t>
            </w:r>
          </w:p>
        </w:tc>
        <w:tc>
          <w:tcPr>
            <w:tcW w:w="2289" w:type="dxa"/>
            <w:hideMark/>
          </w:tcPr>
          <w:p w14:paraId="5B9DB22C" w14:textId="77777777" w:rsidR="006B3925" w:rsidRDefault="006B3925" w:rsidP="00FA2663">
            <w:pPr>
              <w:pStyle w:val="NormalWeb"/>
              <w:jc w:val="center"/>
            </w:pPr>
            <w:r>
              <w:t>28 July 2021</w:t>
            </w:r>
          </w:p>
        </w:tc>
        <w:tc>
          <w:tcPr>
            <w:tcW w:w="2290" w:type="dxa"/>
            <w:hideMark/>
          </w:tcPr>
          <w:p w14:paraId="4BC932E7" w14:textId="77777777" w:rsidR="006B3925" w:rsidRDefault="006B3925" w:rsidP="00FA2663">
            <w:pPr>
              <w:pStyle w:val="NormalWeb"/>
              <w:jc w:val="center"/>
            </w:pPr>
            <w:r>
              <w:t>4</w:t>
            </w:r>
          </w:p>
        </w:tc>
      </w:tr>
      <w:tr w:rsidR="006B3925" w14:paraId="1CFD8E0E"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E6A92DD" w14:textId="77777777" w:rsidR="006B3925" w:rsidRDefault="006B3925" w:rsidP="00FA2663">
            <w:pPr>
              <w:pStyle w:val="NormalWeb"/>
            </w:pPr>
            <w:r>
              <w:t>Tas.</w:t>
            </w:r>
          </w:p>
        </w:tc>
        <w:tc>
          <w:tcPr>
            <w:tcW w:w="2289" w:type="dxa"/>
            <w:hideMark/>
          </w:tcPr>
          <w:p w14:paraId="39911D2D" w14:textId="77777777" w:rsidR="006B3925" w:rsidRDefault="006B3925" w:rsidP="00FA2663">
            <w:pPr>
              <w:pStyle w:val="NormalWeb"/>
              <w:jc w:val="center"/>
            </w:pPr>
            <w:r>
              <w:t>9 August 2020</w:t>
            </w:r>
          </w:p>
        </w:tc>
        <w:tc>
          <w:tcPr>
            <w:tcW w:w="2290" w:type="dxa"/>
            <w:hideMark/>
          </w:tcPr>
          <w:p w14:paraId="0F191414" w14:textId="77777777" w:rsidR="006B3925" w:rsidRDefault="006B3925" w:rsidP="00FA2663">
            <w:pPr>
              <w:pStyle w:val="NormalWeb"/>
              <w:jc w:val="center"/>
            </w:pPr>
            <w:r>
              <w:t>357</w:t>
            </w:r>
          </w:p>
        </w:tc>
        <w:tc>
          <w:tcPr>
            <w:tcW w:w="2289" w:type="dxa"/>
            <w:hideMark/>
          </w:tcPr>
          <w:p w14:paraId="5023F6BE" w14:textId="77777777" w:rsidR="006B3925" w:rsidRDefault="006B3925" w:rsidP="00FA2663">
            <w:pPr>
              <w:pStyle w:val="NormalWeb"/>
              <w:jc w:val="center"/>
            </w:pPr>
            <w:r>
              <w:t>24 April 2020</w:t>
            </w:r>
          </w:p>
        </w:tc>
        <w:tc>
          <w:tcPr>
            <w:tcW w:w="2290" w:type="dxa"/>
            <w:hideMark/>
          </w:tcPr>
          <w:p w14:paraId="0EBDA8B3" w14:textId="77777777" w:rsidR="006B3925" w:rsidRDefault="006B3925" w:rsidP="00FA2663">
            <w:pPr>
              <w:pStyle w:val="NormalWeb"/>
              <w:jc w:val="center"/>
            </w:pPr>
            <w:r>
              <w:t>464</w:t>
            </w:r>
          </w:p>
        </w:tc>
      </w:tr>
      <w:tr w:rsidR="006B3925" w14:paraId="76EA21C9" w14:textId="77777777" w:rsidTr="00FA2663">
        <w:tblPrEx>
          <w:tblCellMar>
            <w:top w:w="57" w:type="dxa"/>
            <w:left w:w="57" w:type="dxa"/>
            <w:bottom w:w="57" w:type="dxa"/>
            <w:right w:w="57" w:type="dxa"/>
          </w:tblCellMar>
        </w:tblPrEx>
        <w:tc>
          <w:tcPr>
            <w:tcW w:w="0" w:type="auto"/>
            <w:hideMark/>
          </w:tcPr>
          <w:p w14:paraId="463F7D50" w14:textId="77777777" w:rsidR="006B3925" w:rsidRDefault="006B3925" w:rsidP="00FA2663">
            <w:pPr>
              <w:pStyle w:val="NormalWeb"/>
            </w:pPr>
            <w:r>
              <w:t>Vic.</w:t>
            </w:r>
          </w:p>
        </w:tc>
        <w:tc>
          <w:tcPr>
            <w:tcW w:w="2289" w:type="dxa"/>
            <w:hideMark/>
          </w:tcPr>
          <w:p w14:paraId="0CB731D2" w14:textId="77777777" w:rsidR="006B3925" w:rsidRDefault="006B3925" w:rsidP="00FA2663">
            <w:pPr>
              <w:pStyle w:val="NormalWeb"/>
              <w:jc w:val="center"/>
            </w:pPr>
            <w:r>
              <w:t>31 May 2021</w:t>
            </w:r>
          </w:p>
        </w:tc>
        <w:tc>
          <w:tcPr>
            <w:tcW w:w="2290" w:type="dxa"/>
            <w:hideMark/>
          </w:tcPr>
          <w:p w14:paraId="6AFEEAE7" w14:textId="77777777" w:rsidR="006B3925" w:rsidRDefault="006B3925" w:rsidP="00FA2663">
            <w:pPr>
              <w:pStyle w:val="NormalWeb"/>
              <w:jc w:val="center"/>
            </w:pPr>
            <w:r>
              <w:t>62</w:t>
            </w:r>
          </w:p>
        </w:tc>
        <w:tc>
          <w:tcPr>
            <w:tcW w:w="2289" w:type="dxa"/>
            <w:hideMark/>
          </w:tcPr>
          <w:p w14:paraId="508680CD" w14:textId="77777777" w:rsidR="006B3925" w:rsidRDefault="006B3925" w:rsidP="00FA2663">
            <w:pPr>
              <w:pStyle w:val="NormalWeb"/>
              <w:jc w:val="center"/>
            </w:pPr>
            <w:r>
              <w:t>31 July 2021</w:t>
            </w:r>
          </w:p>
        </w:tc>
        <w:tc>
          <w:tcPr>
            <w:tcW w:w="2290" w:type="dxa"/>
            <w:hideMark/>
          </w:tcPr>
          <w:p w14:paraId="53080D11" w14:textId="77777777" w:rsidR="006B3925" w:rsidRDefault="006B3925" w:rsidP="00FA2663">
            <w:pPr>
              <w:pStyle w:val="NormalWeb"/>
              <w:jc w:val="center"/>
            </w:pPr>
            <w:r>
              <w:t>1</w:t>
            </w:r>
          </w:p>
        </w:tc>
      </w:tr>
      <w:tr w:rsidR="006B3925" w14:paraId="1F97ECB9"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0F1F0958" w14:textId="77777777" w:rsidR="006B3925" w:rsidRDefault="006B3925" w:rsidP="00FA2663">
            <w:pPr>
              <w:pStyle w:val="NormalWeb"/>
            </w:pPr>
            <w:r>
              <w:t>WA</w:t>
            </w:r>
          </w:p>
        </w:tc>
        <w:tc>
          <w:tcPr>
            <w:tcW w:w="2289" w:type="dxa"/>
            <w:hideMark/>
          </w:tcPr>
          <w:p w14:paraId="34B6290C" w14:textId="77777777" w:rsidR="006B3925" w:rsidRDefault="006B3925" w:rsidP="00FA2663">
            <w:pPr>
              <w:pStyle w:val="NormalWeb"/>
              <w:jc w:val="center"/>
            </w:pPr>
            <w:r>
              <w:t>3 Apr 2020</w:t>
            </w:r>
          </w:p>
        </w:tc>
        <w:tc>
          <w:tcPr>
            <w:tcW w:w="2290" w:type="dxa"/>
            <w:hideMark/>
          </w:tcPr>
          <w:p w14:paraId="4B516E0D" w14:textId="77777777" w:rsidR="006B3925" w:rsidRDefault="006B3925" w:rsidP="00FA2663">
            <w:pPr>
              <w:pStyle w:val="NormalWeb"/>
              <w:jc w:val="center"/>
            </w:pPr>
            <w:r>
              <w:t>485</w:t>
            </w:r>
          </w:p>
        </w:tc>
        <w:tc>
          <w:tcPr>
            <w:tcW w:w="2289" w:type="dxa"/>
            <w:hideMark/>
          </w:tcPr>
          <w:p w14:paraId="0DF7C783" w14:textId="77777777" w:rsidR="006B3925" w:rsidRDefault="006B3925" w:rsidP="00FA2663">
            <w:pPr>
              <w:pStyle w:val="NormalWeb"/>
              <w:jc w:val="center"/>
            </w:pPr>
            <w:r>
              <w:t>2 July 2021</w:t>
            </w:r>
          </w:p>
        </w:tc>
        <w:tc>
          <w:tcPr>
            <w:tcW w:w="2290" w:type="dxa"/>
            <w:hideMark/>
          </w:tcPr>
          <w:p w14:paraId="75AD9772" w14:textId="77777777" w:rsidR="006B3925" w:rsidRDefault="006B3925" w:rsidP="00FA2663">
            <w:pPr>
              <w:pStyle w:val="NormalWeb"/>
              <w:jc w:val="center"/>
            </w:pPr>
            <w:r>
              <w:t>30</w:t>
            </w:r>
          </w:p>
        </w:tc>
      </w:tr>
    </w:tbl>
    <w:p w14:paraId="226135DF" w14:textId="77777777" w:rsidR="006B3925" w:rsidRDefault="006B3925" w:rsidP="006B3925">
      <w:pPr>
        <w:pStyle w:val="CDIfootnotes"/>
        <w:rPr>
          <w:lang w:val="en-GB"/>
        </w:rPr>
      </w:pPr>
      <w:r>
        <w:rPr>
          <w:lang w:val="en-GB"/>
        </w:rPr>
        <w:t>a</w:t>
      </w:r>
      <w:r>
        <w:rPr>
          <w:lang w:val="en-GB"/>
        </w:rPr>
        <w:tab/>
        <w:t>Source: NNDSS, extract from 3 August 2021 for notifications to 1 August 2021.</w:t>
      </w:r>
    </w:p>
    <w:p w14:paraId="065C7C7D" w14:textId="77777777" w:rsidR="006B3925" w:rsidRDefault="006B3925" w:rsidP="006B3925">
      <w:pPr>
        <w:pStyle w:val="CDIfootnotes"/>
        <w:rPr>
          <w:lang w:val="en-GB"/>
        </w:rPr>
      </w:pPr>
      <w:r>
        <w:rPr>
          <w:lang w:val="en-GB"/>
        </w:rPr>
        <w:t>b</w:t>
      </w:r>
      <w:r>
        <w:rPr>
          <w:lang w:val="en-GB"/>
        </w:rPr>
        <w:tab/>
        <w:t xml:space="preserve">This does not include </w:t>
      </w:r>
      <w:proofErr w:type="gramStart"/>
      <w:r>
        <w:rPr>
          <w:lang w:val="en-GB"/>
        </w:rPr>
        <w:t>locally-acquired</w:t>
      </w:r>
      <w:proofErr w:type="gramEnd"/>
      <w:r>
        <w:rPr>
          <w:lang w:val="en-GB"/>
        </w:rPr>
        <w:t xml:space="preserve"> cases that were interstate acquired.</w:t>
      </w:r>
    </w:p>
    <w:p w14:paraId="20BD673B" w14:textId="77777777" w:rsidR="006B3925" w:rsidRDefault="006B3925" w:rsidP="006B3925">
      <w:pPr>
        <w:pStyle w:val="CDIfootnotes"/>
        <w:rPr>
          <w:lang w:val="en-GB"/>
        </w:rPr>
      </w:pPr>
      <w:r>
        <w:rPr>
          <w:lang w:val="en-GB"/>
        </w:rPr>
        <w:t>c</w:t>
      </w:r>
      <w:r>
        <w:rPr>
          <w:lang w:val="en-GB"/>
        </w:rPr>
        <w:tab/>
        <w:t xml:space="preserve">NA: not applicable. The Northern Territory has not reported any </w:t>
      </w:r>
      <w:proofErr w:type="gramStart"/>
      <w:r>
        <w:rPr>
          <w:lang w:val="en-GB"/>
        </w:rPr>
        <w:t>locally-acquired</w:t>
      </w:r>
      <w:proofErr w:type="gramEnd"/>
      <w:r>
        <w:rPr>
          <w:lang w:val="en-GB"/>
        </w:rPr>
        <w:t xml:space="preserve"> cases with an unknown source of infection.</w:t>
      </w:r>
    </w:p>
    <w:p w14:paraId="0898ADCD" w14:textId="77777777" w:rsidR="006B3925" w:rsidRDefault="006B3925">
      <w:pPr>
        <w:rPr>
          <w:lang w:val="en-GB"/>
        </w:rPr>
      </w:pPr>
      <w:r>
        <w:rPr>
          <w:lang w:val="en-GB"/>
        </w:rPr>
        <w:br w:type="page"/>
      </w:r>
    </w:p>
    <w:p w14:paraId="6711538C" w14:textId="1D2DFEE7" w:rsidR="00E77137" w:rsidRDefault="00E77137" w:rsidP="006B3925">
      <w:r>
        <w:lastRenderedPageBreak/>
        <w:t xml:space="preserve">Queensland reported the largest number of cases (33%; 30/91) that were overseas acquired, followed by New South Wales (25%; 23/91) and Western Australia (22%; 20/91). In the past 28 days (5 July to 1 August 2021), 38% (66/175) of overseas-acquired cases reported an unknown country of acquisition. Cases acquired at sea (23%; 25/109) were the most frequent of those with an identified country of acquisition in the past 28 days, followed by cases from India and the United Kingdom, each contributing to 10% of overseas cases (11/109) (Figure 7). The number of cases acquired in different countries is influenced by travel patterns of returning Australians, travel restrictions, and the prevalence of COVID-19 in the country of travel. </w:t>
      </w:r>
    </w:p>
    <w:p w14:paraId="1EBF0597" w14:textId="77777777" w:rsidR="00E77137" w:rsidRPr="00E77137" w:rsidRDefault="00E77137" w:rsidP="00E77137">
      <w:pPr>
        <w:pStyle w:val="Heading2"/>
      </w:pPr>
      <w:r w:rsidRPr="00E77137">
        <w:t xml:space="preserve">Demographic features </w:t>
      </w:r>
    </w:p>
    <w:p w14:paraId="214642A1" w14:textId="77777777" w:rsidR="00E77137" w:rsidRPr="00330BF2" w:rsidRDefault="00E77137" w:rsidP="00E77137">
      <w:pPr>
        <w:pStyle w:val="Heading3"/>
        <w:rPr>
          <w:b w:val="0"/>
          <w:bCs w:val="0"/>
          <w:i/>
          <w:iCs/>
        </w:rPr>
      </w:pPr>
      <w:r w:rsidRPr="00330BF2">
        <w:rPr>
          <w:b w:val="0"/>
          <w:bCs w:val="0"/>
          <w:i/>
          <w:iCs/>
        </w:rPr>
        <w:t xml:space="preserve">(NNDSS) </w:t>
      </w:r>
    </w:p>
    <w:p w14:paraId="1F76ECFD" w14:textId="0C85B7CF" w:rsidR="00E77137" w:rsidRDefault="00E77137" w:rsidP="00E77137">
      <w:r>
        <w:t xml:space="preserve">In this reporting period, the largest proportion of cases occurred in those aged 20 to 29 years (21%; 523/2,456). For this year, the highest rate of infection was in those aged 20 to 29 years with a rate of 33.0 infections per 100,000 population (Figure 3; Appendix A, Table A.1). Adults aged 70 to 79 years had the lowest rate of infection this year. </w:t>
      </w:r>
    </w:p>
    <w:p w14:paraId="0BE6773E" w14:textId="77777777" w:rsidR="007C42CA" w:rsidRPr="00BC1BAD" w:rsidRDefault="007C42CA" w:rsidP="007C42CA">
      <w:pPr>
        <w:pStyle w:val="CDIFigures"/>
      </w:pPr>
      <w:r w:rsidRPr="00BC1BAD">
        <w:rPr>
          <w:rStyle w:val="Strong"/>
          <w:b/>
          <w:bCs w:val="0"/>
        </w:rPr>
        <w:t>Figure 3: Cumulative COVID-19 cases for the calendar year to date, by age group and sex, Australia, with a diagnosis date of 1 January 2021 – 1 August 2021</w:t>
      </w:r>
      <w:r w:rsidRPr="00BC1BAD">
        <w:rPr>
          <w:rStyle w:val="Strong"/>
          <w:b/>
          <w:bCs w:val="0"/>
          <w:vertAlign w:val="superscript"/>
        </w:rPr>
        <w:t>a</w:t>
      </w:r>
    </w:p>
    <w:p w14:paraId="23792DB0" w14:textId="77777777" w:rsidR="007C42CA" w:rsidRDefault="007C42CA" w:rsidP="007C42CA">
      <w:pPr>
        <w:rPr>
          <w:rFonts w:eastAsia="Times New Roman"/>
          <w:lang w:val="en-GB"/>
        </w:rPr>
      </w:pPr>
      <w:r>
        <w:rPr>
          <w:rFonts w:eastAsia="Times New Roman"/>
          <w:noProof/>
          <w:lang w:val="en-GB"/>
        </w:rPr>
        <w:drawing>
          <wp:inline distT="0" distB="0" distL="0" distR="0" wp14:anchorId="2C481489" wp14:editId="2D2C60A5">
            <wp:extent cx="6683550" cy="4410075"/>
            <wp:effectExtent l="0" t="0" r="3175" b="0"/>
            <wp:docPr id="3" name="Picture 3" descr="A bar chart showing the cumulative rates per 100,000 population of confirmed COVID-19 cases, for this calendar year to date, as at 1 August 2021 by 10-year age group and sex. For this calendar year, the highest notification rates have been in the 20 to 29 and 30 to 39 year age groups. In all age groups except those aged 80 to 89 years, males have a higher rate than females among cases notified in 2021 to da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ar chart showing the cumulative rates per 100,000 population of confirmed COVID-19 cases, for this calendar year to date, as at 1 August 2021 by 10-year age group and sex. For this calendar year, the highest notification rates have been in the 20 to 29 and 30 to 39 year age groups. In all age groups except those aged 80 to 89 years, males have a higher rate than females among cases notified in 2021 to date.&#1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88881" cy="4413593"/>
                    </a:xfrm>
                    <a:prstGeom prst="rect">
                      <a:avLst/>
                    </a:prstGeom>
                  </pic:spPr>
                </pic:pic>
              </a:graphicData>
            </a:graphic>
          </wp:inline>
        </w:drawing>
      </w:r>
    </w:p>
    <w:p w14:paraId="00E9296A" w14:textId="2BA50AD6" w:rsidR="007C42CA" w:rsidRPr="007C42CA" w:rsidRDefault="007C42CA" w:rsidP="007C42CA">
      <w:pPr>
        <w:pStyle w:val="CDIfootnotes"/>
        <w:rPr>
          <w:lang w:val="en-GB"/>
        </w:rPr>
      </w:pPr>
      <w:r>
        <w:rPr>
          <w:lang w:val="en-GB"/>
        </w:rPr>
        <w:t>a</w:t>
      </w:r>
      <w:r>
        <w:rPr>
          <w:lang w:val="en-GB"/>
        </w:rPr>
        <w:tab/>
        <w:t>Source: NNDSS, extract from 3 August 2021 for notifications to 1 August 2021.</w:t>
      </w:r>
    </w:p>
    <w:p w14:paraId="306E58DD" w14:textId="77777777" w:rsidR="00E77137" w:rsidRDefault="00E77137" w:rsidP="00E77137">
      <w:r>
        <w:t xml:space="preserve">In 2021, notification rates were higher in males than in females for all age groups except those aged 80 to 89 years (Figure 3). The largest proportional difference by sex, in rates this year, was in the 60 to 69 years age group, where the cumulative rate among males was 16.1 cases per 100,000 population and among females was 10.0 cases per </w:t>
      </w:r>
      <w:r>
        <w:lastRenderedPageBreak/>
        <w:t xml:space="preserve">100,000 population (Appendix A, Table A.1). The median age of cases in this reporting period was 31 years (range: 0 to 96 years; interquartile range, IQR: 20 to 48 years). </w:t>
      </w:r>
    </w:p>
    <w:p w14:paraId="1453DD8C" w14:textId="77777777" w:rsidR="00E77137" w:rsidRPr="00E77137" w:rsidRDefault="00E77137" w:rsidP="00E77137">
      <w:pPr>
        <w:pStyle w:val="Heading3"/>
      </w:pPr>
      <w:r w:rsidRPr="00E77137">
        <w:t xml:space="preserve">Aboriginal and Torres Strait Islander persons </w:t>
      </w:r>
    </w:p>
    <w:p w14:paraId="7066ED5E" w14:textId="77777777" w:rsidR="00E77137" w:rsidRDefault="00E77137" w:rsidP="00E77137">
      <w:r w:rsidRPr="00330BF2">
        <w:rPr>
          <w:rStyle w:val="Emphasis"/>
          <w:b w:val="0"/>
          <w:bCs w:val="0"/>
        </w:rPr>
        <w:t xml:space="preserve">(NNDSS) </w:t>
      </w:r>
    </w:p>
    <w:p w14:paraId="37AD211D" w14:textId="77777777" w:rsidR="00E77137" w:rsidRDefault="00E77137" w:rsidP="00E77137">
      <w:r>
        <w:t xml:space="preserve">Since the beginning of 2021, there have been 32 confirmed cases of COVID-19 notified in Aboriginal and Torres Strait Islander people, representing 0.6% (32/5,680) of all confirmed cases this year. During the reporting period, 15 new Aboriginal and Torres Strait Islander cases were notified, of which 14 were locally acquired from New South Wales and one was overseas acquired from Queensland. </w:t>
      </w:r>
    </w:p>
    <w:p w14:paraId="07DC3A05" w14:textId="77777777" w:rsidR="00E77137" w:rsidRDefault="00E77137" w:rsidP="00E77137">
      <w:r>
        <w:t xml:space="preserve">As at 1 August 2021, it has been one day since the last </w:t>
      </w:r>
      <w:proofErr w:type="gramStart"/>
      <w:r>
        <w:t>locally-acquired</w:t>
      </w:r>
      <w:proofErr w:type="gramEnd"/>
      <w:r>
        <w:t xml:space="preserve"> Aboriginal and Torres Strait Islander case was diagnosed and 15 days since the last overseas-acquired Aboriginal and Torres Strait Islander case was diagnosed. </w:t>
      </w:r>
      <w:proofErr w:type="gramStart"/>
      <w:r>
        <w:t>The majority of</w:t>
      </w:r>
      <w:proofErr w:type="gramEnd"/>
      <w:r>
        <w:t xml:space="preserve"> Aboriginal and Torres Strait Islander cases in 2021 have been reported as locally acquired (84%; 27/32), with five cases overseas acquired. The median age of all Aboriginal and Torres Strait Islander cases this year is 25 years old (range: 2 to 66 years; IQR: 13 to 45 years) and the distribution of cases between males and females is equal, with 16 cases each. </w:t>
      </w:r>
    </w:p>
    <w:p w14:paraId="26AA752F" w14:textId="77777777" w:rsidR="00E77137" w:rsidRPr="00E77137" w:rsidRDefault="00E77137" w:rsidP="00E77137">
      <w:pPr>
        <w:pStyle w:val="Heading2"/>
      </w:pPr>
      <w:r w:rsidRPr="00E77137">
        <w:t xml:space="preserve">Vaccinations </w:t>
      </w:r>
    </w:p>
    <w:p w14:paraId="745E5BB8" w14:textId="77777777" w:rsidR="00E77137" w:rsidRPr="00E77137" w:rsidRDefault="00E77137" w:rsidP="00E77137">
      <w:pPr>
        <w:pStyle w:val="Heading3"/>
      </w:pPr>
      <w:r w:rsidRPr="00E77137">
        <w:t xml:space="preserve">(Department of Health) </w:t>
      </w:r>
    </w:p>
    <w:p w14:paraId="62F1A544" w14:textId="2D416784" w:rsidR="00E77137" w:rsidRDefault="00E77137" w:rsidP="00E77137">
      <w:r>
        <w:t xml:space="preserve">As of 1 August 2021, a total of 12,393,893 doses of COVID-19 vaccine had been administered (Table 4), including 524,237 doses provided to aged care and disability residents. </w:t>
      </w:r>
    </w:p>
    <w:p w14:paraId="774DFC0F" w14:textId="77777777" w:rsidR="00F102C3" w:rsidRPr="000C6B64" w:rsidRDefault="00F102C3" w:rsidP="00F102C3">
      <w:pPr>
        <w:pStyle w:val="CDIFigures"/>
      </w:pPr>
      <w:r w:rsidRPr="000C6B64">
        <w:rPr>
          <w:rStyle w:val="Strong"/>
          <w:b/>
          <w:bCs w:val="0"/>
        </w:rPr>
        <w:t>Table 4: Total number of vaccinations administered, by jurisdiction, Australia, 1 August 2021</w:t>
      </w:r>
      <w:r w:rsidRPr="000C6B64">
        <w:rPr>
          <w:rStyle w:val="Strong"/>
          <w:b/>
          <w:bCs w:val="0"/>
          <w:vertAlign w:val="superscript"/>
        </w:rPr>
        <w:t>a</w:t>
      </w:r>
    </w:p>
    <w:tbl>
      <w:tblPr>
        <w:tblStyle w:val="CDI-StandardTable"/>
        <w:tblW w:w="0" w:type="auto"/>
        <w:tblLook w:val="04A0" w:firstRow="1" w:lastRow="0" w:firstColumn="1" w:lastColumn="0" w:noHBand="0" w:noVBand="1"/>
        <w:tblDescription w:val="Table 4 shows the total number of vaccinations administered to date within each jurisdiction, noting also the Commonwealth-administered vaccinations provided to residents in aged care and disability settings and those administered in primary care settings. Of the 12,393,893 vaccinations administered as of 1 August 2021, slightly more than half (6,471,147 vaccinations) have been administered in primary care settings, with a further 524,237 vaccines administered to those in aged care and disability facilities. Of the vaccines administered by the states and territories, the greatest number has been administered by authorities in Victoria (1,660,319 vaccines), followed by 1,509,706 vaccines administered by authorities in New South Wales."/>
      </w:tblPr>
      <w:tblGrid>
        <w:gridCol w:w="5220"/>
        <w:gridCol w:w="5220"/>
      </w:tblGrid>
      <w:tr w:rsidR="00F102C3" w:rsidRPr="000C6B64" w14:paraId="1D1FA436" w14:textId="77777777" w:rsidTr="00FA2663">
        <w:trPr>
          <w:cnfStyle w:val="100000000000" w:firstRow="1" w:lastRow="0" w:firstColumn="0" w:lastColumn="0" w:oddVBand="0" w:evenVBand="0" w:oddHBand="0" w:evenHBand="0" w:firstRowFirstColumn="0" w:firstRowLastColumn="0" w:lastRowFirstColumn="0" w:lastRowLastColumn="0"/>
        </w:trPr>
        <w:tc>
          <w:tcPr>
            <w:tcW w:w="5220" w:type="dxa"/>
            <w:tcBorders>
              <w:right w:val="single" w:sz="2" w:space="0" w:color="FFFFFF" w:themeColor="background1"/>
            </w:tcBorders>
            <w:hideMark/>
          </w:tcPr>
          <w:p w14:paraId="05CBB567" w14:textId="77777777" w:rsidR="00F102C3" w:rsidRPr="000C6B64" w:rsidRDefault="00F102C3" w:rsidP="00FA2663">
            <w:pPr>
              <w:pStyle w:val="NormalWeb"/>
              <w:rPr>
                <w:color w:val="FFFFFF" w:themeColor="background1"/>
              </w:rPr>
            </w:pPr>
            <w:r w:rsidRPr="000C6B64">
              <w:rPr>
                <w:color w:val="FFFFFF" w:themeColor="background1"/>
              </w:rPr>
              <w:t>Jurisdiction</w:t>
            </w:r>
          </w:p>
        </w:tc>
        <w:tc>
          <w:tcPr>
            <w:tcW w:w="5220" w:type="dxa"/>
            <w:tcBorders>
              <w:left w:val="single" w:sz="2" w:space="0" w:color="FFFFFF" w:themeColor="background1"/>
            </w:tcBorders>
            <w:hideMark/>
          </w:tcPr>
          <w:p w14:paraId="72FADDE6" w14:textId="77777777" w:rsidR="00F102C3" w:rsidRPr="000C6B64" w:rsidRDefault="00F102C3" w:rsidP="00FA2663">
            <w:pPr>
              <w:pStyle w:val="NormalWeb"/>
              <w:jc w:val="center"/>
              <w:rPr>
                <w:color w:val="FFFFFF" w:themeColor="background1"/>
              </w:rPr>
            </w:pPr>
            <w:r w:rsidRPr="000C6B64">
              <w:rPr>
                <w:color w:val="FFFFFF" w:themeColor="background1"/>
              </w:rPr>
              <w:t>Total number of doses administered</w:t>
            </w:r>
          </w:p>
        </w:tc>
      </w:tr>
      <w:tr w:rsidR="00F102C3" w14:paraId="224305EB" w14:textId="77777777" w:rsidTr="00FA2663">
        <w:tblPrEx>
          <w:tblCellMar>
            <w:top w:w="57" w:type="dxa"/>
            <w:left w:w="57" w:type="dxa"/>
            <w:bottom w:w="57" w:type="dxa"/>
            <w:right w:w="57" w:type="dxa"/>
          </w:tblCellMar>
        </w:tblPrEx>
        <w:tc>
          <w:tcPr>
            <w:tcW w:w="5220" w:type="dxa"/>
            <w:hideMark/>
          </w:tcPr>
          <w:p w14:paraId="61EB7592" w14:textId="77777777" w:rsidR="00F102C3" w:rsidRDefault="00F102C3" w:rsidP="00FA2663">
            <w:pPr>
              <w:pStyle w:val="NormalWeb"/>
            </w:pPr>
            <w:r>
              <w:t>ACT</w:t>
            </w:r>
          </w:p>
        </w:tc>
        <w:tc>
          <w:tcPr>
            <w:tcW w:w="5220" w:type="dxa"/>
            <w:hideMark/>
          </w:tcPr>
          <w:p w14:paraId="210A4698" w14:textId="77777777" w:rsidR="00F102C3" w:rsidRDefault="00F102C3" w:rsidP="00FA2663">
            <w:pPr>
              <w:pStyle w:val="NormalWeb"/>
              <w:jc w:val="center"/>
            </w:pPr>
            <w:r>
              <w:t>140,539</w:t>
            </w:r>
          </w:p>
        </w:tc>
      </w:tr>
      <w:tr w:rsidR="00F102C3" w14:paraId="703F0628"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0046D3E7" w14:textId="77777777" w:rsidR="00F102C3" w:rsidRDefault="00F102C3" w:rsidP="00FA2663">
            <w:pPr>
              <w:pStyle w:val="NormalWeb"/>
            </w:pPr>
            <w:r>
              <w:t>NSW</w:t>
            </w:r>
          </w:p>
        </w:tc>
        <w:tc>
          <w:tcPr>
            <w:tcW w:w="5220" w:type="dxa"/>
            <w:hideMark/>
          </w:tcPr>
          <w:p w14:paraId="383BFBFE" w14:textId="77777777" w:rsidR="00F102C3" w:rsidRDefault="00F102C3" w:rsidP="00FA2663">
            <w:pPr>
              <w:pStyle w:val="NormalWeb"/>
              <w:jc w:val="center"/>
            </w:pPr>
            <w:r>
              <w:t>1,509,706</w:t>
            </w:r>
          </w:p>
        </w:tc>
      </w:tr>
      <w:tr w:rsidR="00F102C3" w14:paraId="545568BE" w14:textId="77777777" w:rsidTr="00FA2663">
        <w:tblPrEx>
          <w:tblCellMar>
            <w:top w:w="57" w:type="dxa"/>
            <w:left w:w="57" w:type="dxa"/>
            <w:bottom w:w="57" w:type="dxa"/>
            <w:right w:w="57" w:type="dxa"/>
          </w:tblCellMar>
        </w:tblPrEx>
        <w:tc>
          <w:tcPr>
            <w:tcW w:w="5220" w:type="dxa"/>
            <w:hideMark/>
          </w:tcPr>
          <w:p w14:paraId="3CDC0E50" w14:textId="77777777" w:rsidR="00F102C3" w:rsidRDefault="00F102C3" w:rsidP="00FA2663">
            <w:pPr>
              <w:pStyle w:val="NormalWeb"/>
            </w:pPr>
            <w:r>
              <w:t>NT</w:t>
            </w:r>
          </w:p>
        </w:tc>
        <w:tc>
          <w:tcPr>
            <w:tcW w:w="5220" w:type="dxa"/>
            <w:hideMark/>
          </w:tcPr>
          <w:p w14:paraId="611DEE8C" w14:textId="77777777" w:rsidR="00F102C3" w:rsidRDefault="00F102C3" w:rsidP="00FA2663">
            <w:pPr>
              <w:pStyle w:val="NormalWeb"/>
              <w:jc w:val="center"/>
            </w:pPr>
            <w:r>
              <w:t>90,907</w:t>
            </w:r>
          </w:p>
        </w:tc>
      </w:tr>
      <w:tr w:rsidR="00F102C3" w14:paraId="3E462A8E"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6BA032D6" w14:textId="77777777" w:rsidR="00F102C3" w:rsidRDefault="00F102C3" w:rsidP="00FA2663">
            <w:pPr>
              <w:pStyle w:val="NormalWeb"/>
            </w:pPr>
            <w:r>
              <w:t>Qld</w:t>
            </w:r>
          </w:p>
        </w:tc>
        <w:tc>
          <w:tcPr>
            <w:tcW w:w="5220" w:type="dxa"/>
            <w:hideMark/>
          </w:tcPr>
          <w:p w14:paraId="7BCB3892" w14:textId="77777777" w:rsidR="00F102C3" w:rsidRDefault="00F102C3" w:rsidP="00FA2663">
            <w:pPr>
              <w:pStyle w:val="NormalWeb"/>
              <w:jc w:val="center"/>
            </w:pPr>
            <w:r>
              <w:t>921,750</w:t>
            </w:r>
          </w:p>
        </w:tc>
      </w:tr>
      <w:tr w:rsidR="00F102C3" w14:paraId="6837CBF5" w14:textId="77777777" w:rsidTr="00FA2663">
        <w:tblPrEx>
          <w:tblCellMar>
            <w:top w:w="57" w:type="dxa"/>
            <w:left w:w="57" w:type="dxa"/>
            <w:bottom w:w="57" w:type="dxa"/>
            <w:right w:w="57" w:type="dxa"/>
          </w:tblCellMar>
        </w:tblPrEx>
        <w:tc>
          <w:tcPr>
            <w:tcW w:w="5220" w:type="dxa"/>
            <w:hideMark/>
          </w:tcPr>
          <w:p w14:paraId="24DB6A9F" w14:textId="77777777" w:rsidR="00F102C3" w:rsidRDefault="00F102C3" w:rsidP="00FA2663">
            <w:pPr>
              <w:pStyle w:val="NormalWeb"/>
            </w:pPr>
            <w:r>
              <w:t>SA</w:t>
            </w:r>
          </w:p>
        </w:tc>
        <w:tc>
          <w:tcPr>
            <w:tcW w:w="5220" w:type="dxa"/>
            <w:hideMark/>
          </w:tcPr>
          <w:p w14:paraId="109611DC" w14:textId="77777777" w:rsidR="00F102C3" w:rsidRDefault="00F102C3" w:rsidP="00FA2663">
            <w:pPr>
              <w:pStyle w:val="NormalWeb"/>
              <w:jc w:val="center"/>
            </w:pPr>
            <w:r>
              <w:t>396,440</w:t>
            </w:r>
          </w:p>
        </w:tc>
      </w:tr>
      <w:tr w:rsidR="00F102C3" w14:paraId="00EA23F0"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3F986832" w14:textId="77777777" w:rsidR="00F102C3" w:rsidRDefault="00F102C3" w:rsidP="00FA2663">
            <w:pPr>
              <w:pStyle w:val="NormalWeb"/>
            </w:pPr>
            <w:r>
              <w:t>Tas.</w:t>
            </w:r>
          </w:p>
        </w:tc>
        <w:tc>
          <w:tcPr>
            <w:tcW w:w="5220" w:type="dxa"/>
            <w:hideMark/>
          </w:tcPr>
          <w:p w14:paraId="54E2191C" w14:textId="77777777" w:rsidR="00F102C3" w:rsidRDefault="00F102C3" w:rsidP="00FA2663">
            <w:pPr>
              <w:pStyle w:val="NormalWeb"/>
              <w:jc w:val="center"/>
            </w:pPr>
            <w:r>
              <w:t>166,836</w:t>
            </w:r>
          </w:p>
        </w:tc>
      </w:tr>
      <w:tr w:rsidR="00F102C3" w14:paraId="1EA37C12" w14:textId="77777777" w:rsidTr="00FA2663">
        <w:tblPrEx>
          <w:tblCellMar>
            <w:top w:w="57" w:type="dxa"/>
            <w:left w:w="57" w:type="dxa"/>
            <w:bottom w:w="57" w:type="dxa"/>
            <w:right w:w="57" w:type="dxa"/>
          </w:tblCellMar>
        </w:tblPrEx>
        <w:tc>
          <w:tcPr>
            <w:tcW w:w="5220" w:type="dxa"/>
            <w:hideMark/>
          </w:tcPr>
          <w:p w14:paraId="31715CB8" w14:textId="77777777" w:rsidR="00F102C3" w:rsidRDefault="00F102C3" w:rsidP="00FA2663">
            <w:pPr>
              <w:pStyle w:val="NormalWeb"/>
            </w:pPr>
            <w:r>
              <w:t>Vic.</w:t>
            </w:r>
          </w:p>
        </w:tc>
        <w:tc>
          <w:tcPr>
            <w:tcW w:w="5220" w:type="dxa"/>
            <w:hideMark/>
          </w:tcPr>
          <w:p w14:paraId="64FED0F7" w14:textId="77777777" w:rsidR="00F102C3" w:rsidRDefault="00F102C3" w:rsidP="00FA2663">
            <w:pPr>
              <w:pStyle w:val="NormalWeb"/>
              <w:jc w:val="center"/>
            </w:pPr>
            <w:r>
              <w:t>1,660,319</w:t>
            </w:r>
          </w:p>
        </w:tc>
      </w:tr>
      <w:tr w:rsidR="00F102C3" w14:paraId="39A043A2"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00DB82BA" w14:textId="77777777" w:rsidR="00F102C3" w:rsidRDefault="00F102C3" w:rsidP="00FA2663">
            <w:pPr>
              <w:pStyle w:val="NormalWeb"/>
            </w:pPr>
            <w:r>
              <w:t>WA</w:t>
            </w:r>
          </w:p>
        </w:tc>
        <w:tc>
          <w:tcPr>
            <w:tcW w:w="5220" w:type="dxa"/>
            <w:hideMark/>
          </w:tcPr>
          <w:p w14:paraId="0032D84A" w14:textId="77777777" w:rsidR="00F102C3" w:rsidRDefault="00F102C3" w:rsidP="00FA2663">
            <w:pPr>
              <w:pStyle w:val="NormalWeb"/>
              <w:jc w:val="center"/>
            </w:pPr>
            <w:r>
              <w:t>512,012</w:t>
            </w:r>
          </w:p>
        </w:tc>
      </w:tr>
      <w:tr w:rsidR="00F102C3" w14:paraId="00406BCA" w14:textId="77777777" w:rsidTr="00FA2663">
        <w:tblPrEx>
          <w:tblCellMar>
            <w:top w:w="57" w:type="dxa"/>
            <w:left w:w="57" w:type="dxa"/>
            <w:bottom w:w="57" w:type="dxa"/>
            <w:right w:w="57" w:type="dxa"/>
          </w:tblCellMar>
        </w:tblPrEx>
        <w:tc>
          <w:tcPr>
            <w:tcW w:w="5220" w:type="dxa"/>
            <w:hideMark/>
          </w:tcPr>
          <w:p w14:paraId="544F7E65" w14:textId="77777777" w:rsidR="00F102C3" w:rsidRDefault="00F102C3" w:rsidP="00FA2663">
            <w:pPr>
              <w:pStyle w:val="NormalWeb"/>
            </w:pPr>
            <w:r>
              <w:t xml:space="preserve">Aged care and disability </w:t>
            </w:r>
            <w:proofErr w:type="spellStart"/>
            <w:r>
              <w:t>facilities</w:t>
            </w:r>
            <w:r w:rsidRPr="000C6B64">
              <w:rPr>
                <w:vertAlign w:val="superscript"/>
              </w:rPr>
              <w:t>b</w:t>
            </w:r>
            <w:proofErr w:type="spellEnd"/>
          </w:p>
        </w:tc>
        <w:tc>
          <w:tcPr>
            <w:tcW w:w="5220" w:type="dxa"/>
            <w:hideMark/>
          </w:tcPr>
          <w:p w14:paraId="08B0C349" w14:textId="77777777" w:rsidR="00F102C3" w:rsidRDefault="00F102C3" w:rsidP="00FA2663">
            <w:pPr>
              <w:pStyle w:val="NormalWeb"/>
              <w:jc w:val="center"/>
            </w:pPr>
            <w:r>
              <w:t>524,237</w:t>
            </w:r>
          </w:p>
        </w:tc>
      </w:tr>
      <w:tr w:rsidR="00F102C3" w14:paraId="6E304FCE"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5220" w:type="dxa"/>
            <w:hideMark/>
          </w:tcPr>
          <w:p w14:paraId="4273D490" w14:textId="77777777" w:rsidR="00F102C3" w:rsidRDefault="00F102C3" w:rsidP="00FA2663">
            <w:pPr>
              <w:pStyle w:val="NormalWeb"/>
            </w:pPr>
            <w:r>
              <w:t xml:space="preserve">Primary </w:t>
            </w:r>
            <w:proofErr w:type="spellStart"/>
            <w:r>
              <w:t>care</w:t>
            </w:r>
            <w:r w:rsidRPr="000C6B64">
              <w:rPr>
                <w:vertAlign w:val="superscript"/>
              </w:rPr>
              <w:t>c</w:t>
            </w:r>
            <w:proofErr w:type="spellEnd"/>
          </w:p>
        </w:tc>
        <w:tc>
          <w:tcPr>
            <w:tcW w:w="5220" w:type="dxa"/>
            <w:hideMark/>
          </w:tcPr>
          <w:p w14:paraId="70AE6A48" w14:textId="77777777" w:rsidR="00F102C3" w:rsidRDefault="00F102C3" w:rsidP="00FA2663">
            <w:pPr>
              <w:pStyle w:val="NormalWeb"/>
              <w:jc w:val="center"/>
            </w:pPr>
            <w:r>
              <w:t>6,471,147</w:t>
            </w:r>
          </w:p>
        </w:tc>
      </w:tr>
      <w:tr w:rsidR="00F102C3" w:rsidRPr="000C6B64" w14:paraId="7E9A4C7B" w14:textId="77777777" w:rsidTr="00FA2663">
        <w:tblPrEx>
          <w:tblCellMar>
            <w:top w:w="57" w:type="dxa"/>
            <w:left w:w="57" w:type="dxa"/>
            <w:bottom w:w="57" w:type="dxa"/>
            <w:right w:w="57" w:type="dxa"/>
          </w:tblCellMar>
        </w:tblPrEx>
        <w:tc>
          <w:tcPr>
            <w:tcW w:w="5220" w:type="dxa"/>
            <w:hideMark/>
          </w:tcPr>
          <w:p w14:paraId="4E727138" w14:textId="77777777" w:rsidR="00F102C3" w:rsidRPr="000C6B64" w:rsidRDefault="00F102C3" w:rsidP="00FA2663">
            <w:pPr>
              <w:pStyle w:val="NormalWeb"/>
              <w:rPr>
                <w:b/>
                <w:bCs/>
              </w:rPr>
            </w:pPr>
            <w:r w:rsidRPr="000C6B64">
              <w:rPr>
                <w:b/>
                <w:bCs/>
              </w:rPr>
              <w:t>Total</w:t>
            </w:r>
          </w:p>
        </w:tc>
        <w:tc>
          <w:tcPr>
            <w:tcW w:w="5220" w:type="dxa"/>
            <w:hideMark/>
          </w:tcPr>
          <w:p w14:paraId="176E5407" w14:textId="77777777" w:rsidR="00F102C3" w:rsidRPr="000C6B64" w:rsidRDefault="00F102C3" w:rsidP="00FA2663">
            <w:pPr>
              <w:pStyle w:val="NormalWeb"/>
              <w:jc w:val="center"/>
              <w:rPr>
                <w:b/>
                <w:bCs/>
              </w:rPr>
            </w:pPr>
            <w:r w:rsidRPr="000C6B64">
              <w:rPr>
                <w:b/>
                <w:bCs/>
              </w:rPr>
              <w:t>12,393,893</w:t>
            </w:r>
          </w:p>
        </w:tc>
      </w:tr>
    </w:tbl>
    <w:p w14:paraId="007516E1" w14:textId="77777777" w:rsidR="00F102C3" w:rsidRDefault="00F102C3" w:rsidP="00F102C3">
      <w:pPr>
        <w:pStyle w:val="CDIfootnotes"/>
        <w:rPr>
          <w:lang w:val="en-GB"/>
        </w:rPr>
      </w:pPr>
      <w:r>
        <w:rPr>
          <w:lang w:val="en-GB"/>
        </w:rPr>
        <w:t>a</w:t>
      </w:r>
      <w:r>
        <w:rPr>
          <w:lang w:val="en-GB"/>
        </w:rPr>
        <w:tab/>
        <w:t>Source: Australian Government Department of Health website.</w:t>
      </w:r>
      <w:r w:rsidRPr="004019EF">
        <w:rPr>
          <w:vertAlign w:val="superscript"/>
          <w:lang w:val="en-GB"/>
        </w:rPr>
        <w:t>3</w:t>
      </w:r>
    </w:p>
    <w:p w14:paraId="26FB6385" w14:textId="77777777" w:rsidR="00F102C3" w:rsidRDefault="00F102C3" w:rsidP="00F102C3">
      <w:pPr>
        <w:pStyle w:val="CDIfootnotes"/>
        <w:rPr>
          <w:lang w:val="en-GB"/>
        </w:rPr>
      </w:pPr>
      <w:r>
        <w:rPr>
          <w:lang w:val="en-GB"/>
        </w:rPr>
        <w:t>b</w:t>
      </w:r>
      <w:r>
        <w:rPr>
          <w:lang w:val="en-GB"/>
        </w:rPr>
        <w:tab/>
        <w:t>Commonwealth vaccine doses administered in aged care and disability facilities.</w:t>
      </w:r>
    </w:p>
    <w:p w14:paraId="412D060D" w14:textId="7439524F" w:rsidR="00F102C3" w:rsidRPr="00F102C3" w:rsidRDefault="00F102C3" w:rsidP="00F102C3">
      <w:pPr>
        <w:pStyle w:val="CDIfootnotes"/>
        <w:rPr>
          <w:lang w:val="en-GB"/>
        </w:rPr>
      </w:pPr>
      <w:r>
        <w:rPr>
          <w:lang w:val="en-GB"/>
        </w:rPr>
        <w:t>c</w:t>
      </w:r>
      <w:r>
        <w:rPr>
          <w:lang w:val="en-GB"/>
        </w:rPr>
        <w:tab/>
        <w:t>Commonwealth vaccine doses administered in primary care settings.</w:t>
      </w:r>
    </w:p>
    <w:p w14:paraId="5E7D66D8" w14:textId="77777777" w:rsidR="00CE6A51" w:rsidRDefault="00CE6A51">
      <w:pPr>
        <w:rPr>
          <w:rFonts w:asciiTheme="majorHAnsi" w:eastAsiaTheme="majorEastAsia" w:hAnsiTheme="majorHAnsi" w:cstheme="majorBidi"/>
          <w:b/>
          <w:bCs/>
          <w:sz w:val="26"/>
          <w:szCs w:val="26"/>
        </w:rPr>
      </w:pPr>
      <w:r>
        <w:br w:type="page"/>
      </w:r>
    </w:p>
    <w:p w14:paraId="6B5E129E" w14:textId="006FDCFC" w:rsidR="00E77137" w:rsidRPr="00E77137" w:rsidRDefault="00E77137" w:rsidP="00E77137">
      <w:pPr>
        <w:pStyle w:val="Heading2"/>
      </w:pPr>
      <w:r w:rsidRPr="00E77137">
        <w:lastRenderedPageBreak/>
        <w:t xml:space="preserve">Clusters and outbreaks </w:t>
      </w:r>
    </w:p>
    <w:p w14:paraId="12FD2D57" w14:textId="77777777" w:rsidR="00E77137" w:rsidRPr="00E77137" w:rsidRDefault="00E77137" w:rsidP="00E77137">
      <w:pPr>
        <w:pStyle w:val="Heading3"/>
      </w:pPr>
      <w:r w:rsidRPr="00E77137">
        <w:t xml:space="preserve">Sydney Metropolitan Outbreak </w:t>
      </w:r>
    </w:p>
    <w:p w14:paraId="15C1127D" w14:textId="77777777" w:rsidR="00E77137" w:rsidRDefault="00E77137" w:rsidP="00E77137">
      <w:r>
        <w:t xml:space="preserve">The size of the Sydney Metropolitan Outbreak in NSW continued to increase this reporting fortnight, with 2,159 cases reported to NNDSS. The first case in the cluster, reported on 16 June 2021, was a driver transporting international flight crew. Genomic testing results showed that this case was infected with the Delta SARS-CoV-2 variant of concern (B.1.617.2); however, the sequence did not match cases from the Victorian Delta variant outbreak that occurred from May to June 2021. This sequence had not been seen in Australia previously, but matched one from the United States of America. </w:t>
      </w:r>
    </w:p>
    <w:p w14:paraId="2AEEFB83" w14:textId="77777777" w:rsidR="00E77137" w:rsidRDefault="00E77137" w:rsidP="00E77137">
      <w:r>
        <w:t xml:space="preserve">Up to 1 August 2021, in New South Wales there have been 3,634 </w:t>
      </w:r>
      <w:proofErr w:type="gramStart"/>
      <w:r>
        <w:t>locally-acquired</w:t>
      </w:r>
      <w:proofErr w:type="gramEnd"/>
      <w:r>
        <w:t xml:space="preserve"> cases, including 14 deaths, reported since 16 June 2021. Several interstate-acquired cases have also been linked to this outbreak, including 216 in Victoria, 21 in South Australia, six in Western Australia and five in Queensland. </w:t>
      </w:r>
    </w:p>
    <w:p w14:paraId="2D33899D" w14:textId="77777777" w:rsidR="00E77137" w:rsidRPr="00E77137" w:rsidRDefault="00E77137" w:rsidP="00E77137">
      <w:pPr>
        <w:pStyle w:val="Heading3"/>
      </w:pPr>
      <w:r w:rsidRPr="00E77137">
        <w:t xml:space="preserve">Victoria </w:t>
      </w:r>
    </w:p>
    <w:p w14:paraId="2D330847" w14:textId="77777777" w:rsidR="00E77137" w:rsidRDefault="00E77137" w:rsidP="00E77137">
      <w:r>
        <w:t xml:space="preserve">All </w:t>
      </w:r>
      <w:proofErr w:type="gramStart"/>
      <w:r>
        <w:t>locally-acquired</w:t>
      </w:r>
      <w:proofErr w:type="gramEnd"/>
      <w:r>
        <w:t xml:space="preserve"> cases reported in Victoria in the reporting period were part of two community outbreaks: the Coolaroo Community Outbreak and Maribyrnong Community Outbreak. Almost </w:t>
      </w:r>
      <w:proofErr w:type="gramStart"/>
      <w:r>
        <w:t>all of</w:t>
      </w:r>
      <w:proofErr w:type="gramEnd"/>
      <w:r>
        <w:t xml:space="preserve"> these cases were detected in people already in quarantine. These outbreaks began following two seeding events of the Delta variant associated with travellers from New South Wales to Victoria. </w:t>
      </w:r>
    </w:p>
    <w:p w14:paraId="19D16722" w14:textId="7D033DD8" w:rsidR="00E77137" w:rsidRDefault="00E77137" w:rsidP="00E77137">
      <w:r>
        <w:t>The first cases in the Coolaroo Community Outbreak, reported on 13 and 14 July 2021, were among a family of four that had returned from Greater Sydney on a red zone permit. As at 1 August 2021, there were 18 cases linked to this</w:t>
      </w:r>
      <w:r w:rsidR="004C2BC2">
        <w:t> </w:t>
      </w:r>
      <w:r>
        <w:t xml:space="preserve">outbreak. </w:t>
      </w:r>
    </w:p>
    <w:p w14:paraId="116E46F1" w14:textId="77777777" w:rsidR="00E77137" w:rsidRDefault="00E77137" w:rsidP="00E77137">
      <w:r>
        <w:t xml:space="preserve">The Maribyrnong Community Outbreak was first reported on 14 July 2021, with several cases linked to removalists from Greater Sydney who delivered furniture to an apartment in western Melbourne on 8 July 2021. As at 1 August 2021, there were 196 cases linked to this outbreak. These cases were part of several interconnected outbreaks associated with the apartment complex initially visited by the removalists. </w:t>
      </w:r>
    </w:p>
    <w:p w14:paraId="4EA438E2" w14:textId="77777777" w:rsidR="00E77137" w:rsidRPr="00E77137" w:rsidRDefault="00E77137" w:rsidP="00E77137">
      <w:pPr>
        <w:pStyle w:val="Heading3"/>
      </w:pPr>
      <w:r w:rsidRPr="00E77137">
        <w:t xml:space="preserve">Queensland </w:t>
      </w:r>
    </w:p>
    <w:p w14:paraId="0D270BD3" w14:textId="77777777" w:rsidR="00E77137" w:rsidRDefault="00E77137" w:rsidP="00E77137">
      <w:r>
        <w:t xml:space="preserve">Most </w:t>
      </w:r>
      <w:proofErr w:type="gramStart"/>
      <w:r>
        <w:t>locally-acquired</w:t>
      </w:r>
      <w:proofErr w:type="gramEnd"/>
      <w:r>
        <w:t xml:space="preserve"> cases reported in Queensland during the reporting period were part of an outbreak linked to a Brisbane high school. The first case in this outbreak was reported on 30 July 2021. The outbreak has been genomically linked to returned overseas travellers with the Delta variant. The epidemiological link is still being investigated. As at 1 August 2021, a total of 24 cases were linked to this outbreak: two overseas-acquired cases and 22 community cases. </w:t>
      </w:r>
    </w:p>
    <w:p w14:paraId="2DFD4956" w14:textId="77777777" w:rsidR="00E77137" w:rsidRPr="00E77137" w:rsidRDefault="00E77137" w:rsidP="00E77137">
      <w:pPr>
        <w:pStyle w:val="Heading3"/>
      </w:pPr>
      <w:r w:rsidRPr="00E77137">
        <w:t xml:space="preserve">South Australia </w:t>
      </w:r>
    </w:p>
    <w:p w14:paraId="68F33E1C" w14:textId="77777777" w:rsidR="00E77137" w:rsidRDefault="00E77137" w:rsidP="00E77137">
      <w:r>
        <w:t xml:space="preserve">All </w:t>
      </w:r>
      <w:proofErr w:type="gramStart"/>
      <w:r>
        <w:t>locally-acquired</w:t>
      </w:r>
      <w:proofErr w:type="gramEnd"/>
      <w:r>
        <w:t xml:space="preserve"> cases reported in South Australia in the reporting period were part of the Modbury cluster. The first case in this cluster was reported on </w:t>
      </w:r>
      <w:proofErr w:type="gramStart"/>
      <w:r>
        <w:t>19 July 2021, and</w:t>
      </w:r>
      <w:proofErr w:type="gramEnd"/>
      <w:r>
        <w:t xml:space="preserve"> was a person who returned from overseas. Whilst in hotel quarantine in New South Wales, the person spent 10 days in a Sydney hospital for an unrelated illness before returning to South Australia. The case became symptomatic in South Australia and presented to an Adelaide hospital and got tested on 18 July 2021. The source of infection for this case is still under investigation. Genomic testing confirmed that the person was infected with the Delta variant. As at 1 August 2021, there were 21 cases linked to this outbreak.</w:t>
      </w:r>
    </w:p>
    <w:p w14:paraId="0FE3DE7A" w14:textId="77777777" w:rsidR="00CE6A51" w:rsidRDefault="00CE6A51">
      <w:pPr>
        <w:rPr>
          <w:rFonts w:asciiTheme="majorHAnsi" w:eastAsiaTheme="majorEastAsia" w:hAnsiTheme="majorHAnsi" w:cstheme="majorBidi"/>
          <w:b/>
          <w:bCs/>
          <w:sz w:val="26"/>
          <w:szCs w:val="26"/>
        </w:rPr>
      </w:pPr>
      <w:r>
        <w:br w:type="page"/>
      </w:r>
    </w:p>
    <w:p w14:paraId="56A29827" w14:textId="0BDF4843" w:rsidR="00E77137" w:rsidRPr="00E77137" w:rsidRDefault="00E77137" w:rsidP="00E77137">
      <w:pPr>
        <w:pStyle w:val="Heading2"/>
      </w:pPr>
      <w:r w:rsidRPr="00E77137">
        <w:lastRenderedPageBreak/>
        <w:t xml:space="preserve">Severity </w:t>
      </w:r>
    </w:p>
    <w:p w14:paraId="36B40428" w14:textId="77777777" w:rsidR="00E77137" w:rsidRPr="00E77137" w:rsidRDefault="00E77137" w:rsidP="00E77137">
      <w:pPr>
        <w:pStyle w:val="Heading3"/>
      </w:pPr>
      <w:r w:rsidRPr="00330BF2">
        <w:rPr>
          <w:rStyle w:val="Emphasis"/>
          <w:spacing w:val="0"/>
        </w:rPr>
        <w:t xml:space="preserve">(NNDSS, </w:t>
      </w:r>
      <w:proofErr w:type="spellStart"/>
      <w:r w:rsidRPr="00330BF2">
        <w:rPr>
          <w:rStyle w:val="Emphasis"/>
          <w:spacing w:val="0"/>
        </w:rPr>
        <w:t>FluCAN</w:t>
      </w:r>
      <w:proofErr w:type="spellEnd"/>
      <w:r w:rsidRPr="00330BF2">
        <w:rPr>
          <w:rStyle w:val="Emphasis"/>
          <w:spacing w:val="0"/>
        </w:rPr>
        <w:t xml:space="preserve">, SPRINT-SARI) </w:t>
      </w:r>
    </w:p>
    <w:p w14:paraId="33105344" w14:textId="77777777" w:rsidR="00E77137" w:rsidRPr="00330BF2" w:rsidRDefault="00E77137" w:rsidP="00E77137">
      <w:pPr>
        <w:pStyle w:val="Heading4"/>
        <w:rPr>
          <w:rFonts w:eastAsia="Times New Roman"/>
          <w:b w:val="0"/>
          <w:bCs w:val="0"/>
        </w:rPr>
      </w:pPr>
      <w:r w:rsidRPr="00330BF2">
        <w:rPr>
          <w:rFonts w:eastAsia="Times New Roman"/>
          <w:b w:val="0"/>
          <w:bCs w:val="0"/>
        </w:rPr>
        <w:t xml:space="preserve">Hospitalisation and intensive care unit admission </w:t>
      </w:r>
    </w:p>
    <w:p w14:paraId="14571E4A" w14:textId="4A6F5F11" w:rsidR="00E77137" w:rsidRDefault="00E77137" w:rsidP="00E77137">
      <w:r>
        <w:t xml:space="preserve">In 2021, for cases where hospitalisation and intensive care unit (ICU) data were reliable and complete, the estimated hospitalisation rate was 11.6% of cases, and the estimated ICU admission rate was 2.3% of cases (Table 5). This is based on data from six states/territories that have reliable data across both hospitalisation and ICU data fields in the NNDSS, and who do not routinely hospitalise cases for isolation purposes (Australian Capital Territory, New South Wales, South Australia, Tasmania, Victoria and Western Australia). </w:t>
      </w:r>
    </w:p>
    <w:p w14:paraId="46CDD410" w14:textId="77777777" w:rsidR="00C96E15" w:rsidRPr="000C6B64" w:rsidRDefault="00C96E15" w:rsidP="00C96E15">
      <w:pPr>
        <w:pStyle w:val="CDIFigures"/>
      </w:pPr>
      <w:r w:rsidRPr="000C6B64">
        <w:rPr>
          <w:rStyle w:val="Strong"/>
          <w:b/>
          <w:bCs w:val="0"/>
        </w:rPr>
        <w:t>Table 5: Numbers of COVID-19 case hospitalisations and admissions to ICU due to COVID-19, 1 January 2021 – 1 August 2021</w:t>
      </w:r>
      <w:proofErr w:type="gramStart"/>
      <w:r w:rsidRPr="000C6B64">
        <w:rPr>
          <w:rStyle w:val="Strong"/>
          <w:b/>
          <w:bCs w:val="0"/>
          <w:vertAlign w:val="superscript"/>
        </w:rPr>
        <w:t>a,b</w:t>
      </w:r>
      <w:proofErr w:type="gramEnd"/>
    </w:p>
    <w:tbl>
      <w:tblPr>
        <w:tblStyle w:val="CDI-StandardTable"/>
        <w:tblW w:w="0" w:type="auto"/>
        <w:tblLook w:val="04A0" w:firstRow="1" w:lastRow="0" w:firstColumn="1" w:lastColumn="0" w:noHBand="0" w:noVBand="1"/>
        <w:tblDescription w:val="Table 5 summarises the total number of cases and the proportions of hospitalisation and of admission to an intensive care unit for the calendar year to date, as a function of age group, among cases recorded in six jurisdictions with the most reliable hospitalisation/ICU data: the Australian Capital Territory, New South Wales, South Australia, Tasmania, Victoria and Western Australia. While the largest fractions of total cases have been those in the 20–29 and 30–39 year age brackets (comprising respectively 1,084 and 1,019 out of a total 5,095 cases), those hospitalised or admitted to an ICU are predominantly from systematically older age groups. The number of hospitalisations is greatest for those in the 50–59 year age group; the percentage of cases within a given age group hospitalised is highest for those aged 80 years and older, with hospitalisation rates of 56% and 65% for the 80–89 and 90+ year age groups respectively. The largest number of ICU admissions this year has occurred in the 60–69 year age group (34/117 admissions), with 11% of cases in this age group admitted to ICU."/>
      </w:tblPr>
      <w:tblGrid>
        <w:gridCol w:w="1175"/>
        <w:gridCol w:w="1469"/>
        <w:gridCol w:w="1533"/>
        <w:gridCol w:w="2470"/>
        <w:gridCol w:w="1403"/>
        <w:gridCol w:w="2340"/>
      </w:tblGrid>
      <w:tr w:rsidR="00C96E15" w14:paraId="5155EB3A" w14:textId="77777777" w:rsidTr="00FA266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614D3749" w14:textId="77777777" w:rsidR="00C96E15" w:rsidRPr="000C6B64" w:rsidRDefault="00C96E15" w:rsidP="00FA2663">
            <w:pPr>
              <w:pStyle w:val="NormalWeb"/>
              <w:rPr>
                <w:color w:val="FFFFFF" w:themeColor="background1"/>
              </w:rPr>
            </w:pPr>
            <w:r w:rsidRPr="000C6B64">
              <w:rPr>
                <w:color w:val="FFFFFF" w:themeColor="background1"/>
              </w:rPr>
              <w:t>Age group</w:t>
            </w:r>
          </w:p>
        </w:tc>
        <w:tc>
          <w:tcPr>
            <w:tcW w:w="1469" w:type="dxa"/>
            <w:tcBorders>
              <w:left w:val="single" w:sz="2" w:space="0" w:color="FFFFFF" w:themeColor="background1"/>
              <w:bottom w:val="single" w:sz="2" w:space="0" w:color="FFFFFF" w:themeColor="background1"/>
              <w:right w:val="single" w:sz="2" w:space="0" w:color="FFFFFF" w:themeColor="background1"/>
            </w:tcBorders>
            <w:vAlign w:val="center"/>
            <w:hideMark/>
          </w:tcPr>
          <w:p w14:paraId="6A4EE4AD" w14:textId="77777777" w:rsidR="00C96E15" w:rsidRPr="000C6B64" w:rsidRDefault="00C96E15" w:rsidP="00FA2663">
            <w:pPr>
              <w:pStyle w:val="NormalWeb"/>
              <w:jc w:val="center"/>
              <w:rPr>
                <w:color w:val="FFFFFF" w:themeColor="background1"/>
              </w:rPr>
            </w:pPr>
            <w:r w:rsidRPr="000C6B64">
              <w:rPr>
                <w:color w:val="FFFFFF" w:themeColor="background1"/>
              </w:rPr>
              <w:t>Cases</w:t>
            </w:r>
          </w:p>
        </w:tc>
        <w:tc>
          <w:tcPr>
            <w:tcW w:w="4003" w:type="dxa"/>
            <w:gridSpan w:val="2"/>
            <w:tcBorders>
              <w:left w:val="single" w:sz="2" w:space="0" w:color="FFFFFF" w:themeColor="background1"/>
              <w:bottom w:val="single" w:sz="2" w:space="0" w:color="FFFFFF" w:themeColor="background1"/>
              <w:right w:val="single" w:sz="2" w:space="0" w:color="FFFFFF" w:themeColor="background1"/>
            </w:tcBorders>
            <w:vAlign w:val="center"/>
            <w:hideMark/>
          </w:tcPr>
          <w:p w14:paraId="6FA7B608" w14:textId="77777777" w:rsidR="00C96E15" w:rsidRPr="000C6B64" w:rsidRDefault="00C96E15" w:rsidP="00FA2663">
            <w:pPr>
              <w:pStyle w:val="NormalWeb"/>
              <w:jc w:val="center"/>
              <w:rPr>
                <w:color w:val="FFFFFF" w:themeColor="background1"/>
              </w:rPr>
            </w:pPr>
            <w:r w:rsidRPr="000C6B64">
              <w:rPr>
                <w:color w:val="FFFFFF" w:themeColor="background1"/>
              </w:rPr>
              <w:t>Hospitalisations</w:t>
            </w:r>
          </w:p>
        </w:tc>
        <w:tc>
          <w:tcPr>
            <w:tcW w:w="3743" w:type="dxa"/>
            <w:gridSpan w:val="2"/>
            <w:tcBorders>
              <w:left w:val="single" w:sz="2" w:space="0" w:color="FFFFFF" w:themeColor="background1"/>
              <w:bottom w:val="single" w:sz="2" w:space="0" w:color="FFFFFF" w:themeColor="background1"/>
            </w:tcBorders>
            <w:vAlign w:val="center"/>
            <w:hideMark/>
          </w:tcPr>
          <w:p w14:paraId="0FFF5469" w14:textId="77777777" w:rsidR="00C96E15" w:rsidRPr="000C6B64" w:rsidRDefault="00C96E15" w:rsidP="00FA2663">
            <w:pPr>
              <w:pStyle w:val="NormalWeb"/>
              <w:jc w:val="center"/>
              <w:rPr>
                <w:color w:val="FFFFFF" w:themeColor="background1"/>
              </w:rPr>
            </w:pPr>
            <w:r w:rsidRPr="000C6B64">
              <w:rPr>
                <w:color w:val="FFFFFF" w:themeColor="background1"/>
              </w:rPr>
              <w:t>ICU admission</w:t>
            </w:r>
          </w:p>
        </w:tc>
      </w:tr>
      <w:tr w:rsidR="00C96E15" w14:paraId="7BCF930F" w14:textId="77777777" w:rsidTr="00FA2663">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vAlign w:val="center"/>
            <w:hideMark/>
          </w:tcPr>
          <w:p w14:paraId="682DFAEA" w14:textId="77777777" w:rsidR="00C96E15" w:rsidRPr="000C6B64" w:rsidRDefault="00C96E15" w:rsidP="00FA2663">
            <w:pPr>
              <w:jc w:val="center"/>
              <w:rPr>
                <w:color w:val="FFFFFF" w:themeColor="background1"/>
                <w:sz w:val="24"/>
                <w:szCs w:val="24"/>
              </w:rPr>
            </w:pPr>
          </w:p>
        </w:tc>
        <w:tc>
          <w:tcPr>
            <w:tcW w:w="1469" w:type="dxa"/>
            <w:tcBorders>
              <w:top w:val="single" w:sz="2" w:space="0" w:color="FFFFFF" w:themeColor="background1"/>
              <w:left w:val="single" w:sz="2" w:space="0" w:color="FFFFFF" w:themeColor="background1"/>
              <w:right w:val="single" w:sz="2" w:space="0" w:color="FFFFFF" w:themeColor="background1"/>
            </w:tcBorders>
            <w:vAlign w:val="center"/>
            <w:hideMark/>
          </w:tcPr>
          <w:p w14:paraId="46FFE3F6" w14:textId="77777777" w:rsidR="00C96E15" w:rsidRPr="000C6B64" w:rsidRDefault="00C96E15" w:rsidP="00FA2663">
            <w:pPr>
              <w:pStyle w:val="NormalWeb"/>
              <w:jc w:val="center"/>
              <w:rPr>
                <w:color w:val="FFFFFF" w:themeColor="background1"/>
              </w:rPr>
            </w:pPr>
            <w:r w:rsidRPr="000C6B64">
              <w:rPr>
                <w:color w:val="FFFFFF" w:themeColor="background1"/>
              </w:rPr>
              <w:t>Total</w:t>
            </w:r>
          </w:p>
        </w:tc>
        <w:tc>
          <w:tcPr>
            <w:tcW w:w="1533" w:type="dxa"/>
            <w:tcBorders>
              <w:top w:val="single" w:sz="2" w:space="0" w:color="FFFFFF" w:themeColor="background1"/>
              <w:left w:val="single" w:sz="2" w:space="0" w:color="FFFFFF" w:themeColor="background1"/>
              <w:right w:val="single" w:sz="2" w:space="0" w:color="FFFFFF" w:themeColor="background1"/>
            </w:tcBorders>
            <w:vAlign w:val="center"/>
            <w:hideMark/>
          </w:tcPr>
          <w:p w14:paraId="61D91EFE" w14:textId="77777777" w:rsidR="00C96E15" w:rsidRPr="000C6B64" w:rsidRDefault="00C96E15" w:rsidP="00FA2663">
            <w:pPr>
              <w:pStyle w:val="NormalWeb"/>
              <w:jc w:val="center"/>
              <w:rPr>
                <w:color w:val="FFFFFF" w:themeColor="background1"/>
              </w:rPr>
            </w:pPr>
            <w:r w:rsidRPr="000C6B64">
              <w:rPr>
                <w:color w:val="FFFFFF" w:themeColor="background1"/>
              </w:rPr>
              <w:t>n</w:t>
            </w:r>
          </w:p>
        </w:tc>
        <w:tc>
          <w:tcPr>
            <w:tcW w:w="2470" w:type="dxa"/>
            <w:tcBorders>
              <w:top w:val="single" w:sz="2" w:space="0" w:color="FFFFFF" w:themeColor="background1"/>
              <w:left w:val="single" w:sz="2" w:space="0" w:color="FFFFFF" w:themeColor="background1"/>
              <w:right w:val="single" w:sz="2" w:space="0" w:color="FFFFFF" w:themeColor="background1"/>
            </w:tcBorders>
            <w:vAlign w:val="center"/>
            <w:hideMark/>
          </w:tcPr>
          <w:p w14:paraId="6186F32D" w14:textId="77777777" w:rsidR="00C96E15" w:rsidRPr="000C6B64" w:rsidRDefault="00C96E15" w:rsidP="00FA2663">
            <w:pPr>
              <w:pStyle w:val="NormalWeb"/>
              <w:jc w:val="center"/>
              <w:rPr>
                <w:color w:val="FFFFFF" w:themeColor="background1"/>
              </w:rPr>
            </w:pPr>
            <w:r w:rsidRPr="000C6B64">
              <w:rPr>
                <w:color w:val="FFFFFF" w:themeColor="background1"/>
              </w:rPr>
              <w:t>Cases hospitalised (%)</w:t>
            </w:r>
          </w:p>
        </w:tc>
        <w:tc>
          <w:tcPr>
            <w:tcW w:w="1403" w:type="dxa"/>
            <w:tcBorders>
              <w:top w:val="single" w:sz="2" w:space="0" w:color="FFFFFF" w:themeColor="background1"/>
              <w:left w:val="single" w:sz="2" w:space="0" w:color="FFFFFF" w:themeColor="background1"/>
              <w:right w:val="single" w:sz="2" w:space="0" w:color="FFFFFF" w:themeColor="background1"/>
            </w:tcBorders>
            <w:vAlign w:val="center"/>
            <w:hideMark/>
          </w:tcPr>
          <w:p w14:paraId="112BFDB0" w14:textId="77777777" w:rsidR="00C96E15" w:rsidRPr="000C6B64" w:rsidRDefault="00C96E15" w:rsidP="00FA2663">
            <w:pPr>
              <w:pStyle w:val="NormalWeb"/>
              <w:jc w:val="center"/>
              <w:rPr>
                <w:color w:val="FFFFFF" w:themeColor="background1"/>
              </w:rPr>
            </w:pPr>
            <w:r w:rsidRPr="000C6B64">
              <w:rPr>
                <w:color w:val="FFFFFF" w:themeColor="background1"/>
              </w:rPr>
              <w:t>n</w:t>
            </w:r>
          </w:p>
        </w:tc>
        <w:tc>
          <w:tcPr>
            <w:tcW w:w="2340" w:type="dxa"/>
            <w:tcBorders>
              <w:top w:val="single" w:sz="2" w:space="0" w:color="FFFFFF" w:themeColor="background1"/>
              <w:left w:val="single" w:sz="2" w:space="0" w:color="FFFFFF" w:themeColor="background1"/>
            </w:tcBorders>
            <w:vAlign w:val="center"/>
            <w:hideMark/>
          </w:tcPr>
          <w:p w14:paraId="5FAFF179" w14:textId="77777777" w:rsidR="00C96E15" w:rsidRPr="000C6B64" w:rsidRDefault="00C96E15" w:rsidP="00FA2663">
            <w:pPr>
              <w:pStyle w:val="NormalWeb"/>
              <w:jc w:val="center"/>
              <w:rPr>
                <w:color w:val="FFFFFF" w:themeColor="background1"/>
              </w:rPr>
            </w:pPr>
            <w:r w:rsidRPr="000C6B64">
              <w:rPr>
                <w:color w:val="FFFFFF" w:themeColor="background1"/>
              </w:rPr>
              <w:t>Cases admitted to ICU (%)</w:t>
            </w:r>
          </w:p>
        </w:tc>
      </w:tr>
      <w:tr w:rsidR="00C96E15" w14:paraId="013D9168" w14:textId="77777777" w:rsidTr="00FA2663">
        <w:tblPrEx>
          <w:tblCellMar>
            <w:top w:w="57" w:type="dxa"/>
            <w:left w:w="57" w:type="dxa"/>
            <w:bottom w:w="57" w:type="dxa"/>
            <w:right w:w="57" w:type="dxa"/>
          </w:tblCellMar>
        </w:tblPrEx>
        <w:tc>
          <w:tcPr>
            <w:tcW w:w="0" w:type="auto"/>
            <w:hideMark/>
          </w:tcPr>
          <w:p w14:paraId="65499A10" w14:textId="77777777" w:rsidR="00C96E15" w:rsidRDefault="00C96E15" w:rsidP="00FA2663">
            <w:pPr>
              <w:pStyle w:val="NormalWeb"/>
            </w:pPr>
            <w:r>
              <w:t>0–9</w:t>
            </w:r>
          </w:p>
        </w:tc>
        <w:tc>
          <w:tcPr>
            <w:tcW w:w="1469" w:type="dxa"/>
            <w:hideMark/>
          </w:tcPr>
          <w:p w14:paraId="53A83C24" w14:textId="77777777" w:rsidR="00C96E15" w:rsidRDefault="00C96E15" w:rsidP="00FA2663">
            <w:pPr>
              <w:pStyle w:val="NormalWeb"/>
              <w:jc w:val="center"/>
            </w:pPr>
            <w:r>
              <w:t>530</w:t>
            </w:r>
          </w:p>
        </w:tc>
        <w:tc>
          <w:tcPr>
            <w:tcW w:w="1533" w:type="dxa"/>
            <w:hideMark/>
          </w:tcPr>
          <w:p w14:paraId="7818133B" w14:textId="77777777" w:rsidR="00C96E15" w:rsidRDefault="00C96E15" w:rsidP="00FA2663">
            <w:pPr>
              <w:pStyle w:val="NormalWeb"/>
              <w:jc w:val="center"/>
            </w:pPr>
            <w:r>
              <w:t>13</w:t>
            </w:r>
          </w:p>
        </w:tc>
        <w:tc>
          <w:tcPr>
            <w:tcW w:w="2470" w:type="dxa"/>
            <w:hideMark/>
          </w:tcPr>
          <w:p w14:paraId="4EA6BCB0" w14:textId="77777777" w:rsidR="00C96E15" w:rsidRDefault="00C96E15" w:rsidP="00FA2663">
            <w:pPr>
              <w:pStyle w:val="NormalWeb"/>
              <w:jc w:val="center"/>
            </w:pPr>
            <w:r>
              <w:t>2.5%</w:t>
            </w:r>
          </w:p>
        </w:tc>
        <w:tc>
          <w:tcPr>
            <w:tcW w:w="1403" w:type="dxa"/>
            <w:hideMark/>
          </w:tcPr>
          <w:p w14:paraId="6DA18852" w14:textId="77777777" w:rsidR="00C96E15" w:rsidRDefault="00C96E15" w:rsidP="00FA2663">
            <w:pPr>
              <w:pStyle w:val="NormalWeb"/>
              <w:jc w:val="center"/>
            </w:pPr>
            <w:r>
              <w:t>0</w:t>
            </w:r>
          </w:p>
        </w:tc>
        <w:tc>
          <w:tcPr>
            <w:tcW w:w="2340" w:type="dxa"/>
            <w:hideMark/>
          </w:tcPr>
          <w:p w14:paraId="68F7B091" w14:textId="77777777" w:rsidR="00C96E15" w:rsidRDefault="00C96E15" w:rsidP="00FA2663">
            <w:pPr>
              <w:pStyle w:val="NormalWeb"/>
              <w:jc w:val="center"/>
            </w:pPr>
            <w:r>
              <w:t>0.0%</w:t>
            </w:r>
          </w:p>
        </w:tc>
      </w:tr>
      <w:tr w:rsidR="00C96E15" w14:paraId="7C33F20B"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31FFF762" w14:textId="77777777" w:rsidR="00C96E15" w:rsidRDefault="00C96E15" w:rsidP="00FA2663">
            <w:pPr>
              <w:pStyle w:val="NormalWeb"/>
            </w:pPr>
            <w:r>
              <w:t>10–19</w:t>
            </w:r>
          </w:p>
        </w:tc>
        <w:tc>
          <w:tcPr>
            <w:tcW w:w="1469" w:type="dxa"/>
            <w:hideMark/>
          </w:tcPr>
          <w:p w14:paraId="43C231B6" w14:textId="77777777" w:rsidR="00C96E15" w:rsidRDefault="00C96E15" w:rsidP="00FA2663">
            <w:pPr>
              <w:pStyle w:val="NormalWeb"/>
              <w:jc w:val="center"/>
            </w:pPr>
            <w:r>
              <w:t>682</w:t>
            </w:r>
          </w:p>
        </w:tc>
        <w:tc>
          <w:tcPr>
            <w:tcW w:w="1533" w:type="dxa"/>
            <w:hideMark/>
          </w:tcPr>
          <w:p w14:paraId="0BF9E08F" w14:textId="77777777" w:rsidR="00C96E15" w:rsidRDefault="00C96E15" w:rsidP="00FA2663">
            <w:pPr>
              <w:pStyle w:val="NormalWeb"/>
              <w:jc w:val="center"/>
            </w:pPr>
            <w:r>
              <w:t>20</w:t>
            </w:r>
          </w:p>
        </w:tc>
        <w:tc>
          <w:tcPr>
            <w:tcW w:w="2470" w:type="dxa"/>
            <w:hideMark/>
          </w:tcPr>
          <w:p w14:paraId="0C288A0C" w14:textId="77777777" w:rsidR="00C96E15" w:rsidRDefault="00C96E15" w:rsidP="00FA2663">
            <w:pPr>
              <w:pStyle w:val="NormalWeb"/>
              <w:jc w:val="center"/>
            </w:pPr>
            <w:r>
              <w:t>2.9%</w:t>
            </w:r>
          </w:p>
        </w:tc>
        <w:tc>
          <w:tcPr>
            <w:tcW w:w="1403" w:type="dxa"/>
            <w:hideMark/>
          </w:tcPr>
          <w:p w14:paraId="0A449567" w14:textId="77777777" w:rsidR="00C96E15" w:rsidRDefault="00C96E15" w:rsidP="00FA2663">
            <w:pPr>
              <w:pStyle w:val="NormalWeb"/>
              <w:jc w:val="center"/>
            </w:pPr>
            <w:r>
              <w:t>4</w:t>
            </w:r>
          </w:p>
        </w:tc>
        <w:tc>
          <w:tcPr>
            <w:tcW w:w="2340" w:type="dxa"/>
            <w:hideMark/>
          </w:tcPr>
          <w:p w14:paraId="042435E3" w14:textId="77777777" w:rsidR="00C96E15" w:rsidRDefault="00C96E15" w:rsidP="00FA2663">
            <w:pPr>
              <w:pStyle w:val="NormalWeb"/>
              <w:jc w:val="center"/>
            </w:pPr>
            <w:r>
              <w:t>0.6%</w:t>
            </w:r>
          </w:p>
        </w:tc>
      </w:tr>
      <w:tr w:rsidR="00C96E15" w14:paraId="4351306F" w14:textId="77777777" w:rsidTr="00FA2663">
        <w:tblPrEx>
          <w:tblCellMar>
            <w:top w:w="57" w:type="dxa"/>
            <w:left w:w="57" w:type="dxa"/>
            <w:bottom w:w="57" w:type="dxa"/>
            <w:right w:w="57" w:type="dxa"/>
          </w:tblCellMar>
        </w:tblPrEx>
        <w:tc>
          <w:tcPr>
            <w:tcW w:w="0" w:type="auto"/>
            <w:hideMark/>
          </w:tcPr>
          <w:p w14:paraId="6FD9931E" w14:textId="77777777" w:rsidR="00C96E15" w:rsidRDefault="00C96E15" w:rsidP="00FA2663">
            <w:pPr>
              <w:pStyle w:val="NormalWeb"/>
            </w:pPr>
            <w:r>
              <w:t>20–29</w:t>
            </w:r>
          </w:p>
        </w:tc>
        <w:tc>
          <w:tcPr>
            <w:tcW w:w="1469" w:type="dxa"/>
            <w:hideMark/>
          </w:tcPr>
          <w:p w14:paraId="08EDE14F" w14:textId="77777777" w:rsidR="00C96E15" w:rsidRDefault="00C96E15" w:rsidP="00FA2663">
            <w:pPr>
              <w:pStyle w:val="NormalWeb"/>
              <w:jc w:val="center"/>
            </w:pPr>
            <w:r>
              <w:t>1084</w:t>
            </w:r>
          </w:p>
        </w:tc>
        <w:tc>
          <w:tcPr>
            <w:tcW w:w="1533" w:type="dxa"/>
            <w:hideMark/>
          </w:tcPr>
          <w:p w14:paraId="28E94D78" w14:textId="77777777" w:rsidR="00C96E15" w:rsidRDefault="00C96E15" w:rsidP="00FA2663">
            <w:pPr>
              <w:pStyle w:val="NormalWeb"/>
              <w:jc w:val="center"/>
            </w:pPr>
            <w:r>
              <w:t>84</w:t>
            </w:r>
          </w:p>
        </w:tc>
        <w:tc>
          <w:tcPr>
            <w:tcW w:w="2470" w:type="dxa"/>
            <w:hideMark/>
          </w:tcPr>
          <w:p w14:paraId="194DD029" w14:textId="77777777" w:rsidR="00C96E15" w:rsidRDefault="00C96E15" w:rsidP="00FA2663">
            <w:pPr>
              <w:pStyle w:val="NormalWeb"/>
              <w:jc w:val="center"/>
            </w:pPr>
            <w:r>
              <w:t>7.7%</w:t>
            </w:r>
          </w:p>
        </w:tc>
        <w:tc>
          <w:tcPr>
            <w:tcW w:w="1403" w:type="dxa"/>
            <w:hideMark/>
          </w:tcPr>
          <w:p w14:paraId="59376705" w14:textId="77777777" w:rsidR="00C96E15" w:rsidRDefault="00C96E15" w:rsidP="00FA2663">
            <w:pPr>
              <w:pStyle w:val="NormalWeb"/>
              <w:jc w:val="center"/>
            </w:pPr>
            <w:r>
              <w:t>13</w:t>
            </w:r>
          </w:p>
        </w:tc>
        <w:tc>
          <w:tcPr>
            <w:tcW w:w="2340" w:type="dxa"/>
            <w:hideMark/>
          </w:tcPr>
          <w:p w14:paraId="3D781883" w14:textId="77777777" w:rsidR="00C96E15" w:rsidRDefault="00C96E15" w:rsidP="00FA2663">
            <w:pPr>
              <w:pStyle w:val="NormalWeb"/>
              <w:jc w:val="center"/>
            </w:pPr>
            <w:r>
              <w:t>1.2%</w:t>
            </w:r>
          </w:p>
        </w:tc>
      </w:tr>
      <w:tr w:rsidR="00C96E15" w14:paraId="09055282"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1CBBD9CF" w14:textId="77777777" w:rsidR="00C96E15" w:rsidRDefault="00C96E15" w:rsidP="00FA2663">
            <w:pPr>
              <w:pStyle w:val="NormalWeb"/>
            </w:pPr>
            <w:r>
              <w:t>30–39</w:t>
            </w:r>
          </w:p>
        </w:tc>
        <w:tc>
          <w:tcPr>
            <w:tcW w:w="1469" w:type="dxa"/>
            <w:hideMark/>
          </w:tcPr>
          <w:p w14:paraId="6D9F989D" w14:textId="77777777" w:rsidR="00C96E15" w:rsidRDefault="00C96E15" w:rsidP="00FA2663">
            <w:pPr>
              <w:pStyle w:val="NormalWeb"/>
              <w:jc w:val="center"/>
            </w:pPr>
            <w:r>
              <w:t>1019</w:t>
            </w:r>
          </w:p>
        </w:tc>
        <w:tc>
          <w:tcPr>
            <w:tcW w:w="1533" w:type="dxa"/>
            <w:hideMark/>
          </w:tcPr>
          <w:p w14:paraId="1EAEA4A4" w14:textId="77777777" w:rsidR="00C96E15" w:rsidRDefault="00C96E15" w:rsidP="00FA2663">
            <w:pPr>
              <w:pStyle w:val="NormalWeb"/>
              <w:jc w:val="center"/>
            </w:pPr>
            <w:r>
              <w:t>89</w:t>
            </w:r>
          </w:p>
        </w:tc>
        <w:tc>
          <w:tcPr>
            <w:tcW w:w="2470" w:type="dxa"/>
            <w:hideMark/>
          </w:tcPr>
          <w:p w14:paraId="2CEEE6BF" w14:textId="77777777" w:rsidR="00C96E15" w:rsidRDefault="00C96E15" w:rsidP="00FA2663">
            <w:pPr>
              <w:pStyle w:val="NormalWeb"/>
              <w:jc w:val="center"/>
            </w:pPr>
            <w:r>
              <w:t>8.7%</w:t>
            </w:r>
          </w:p>
        </w:tc>
        <w:tc>
          <w:tcPr>
            <w:tcW w:w="1403" w:type="dxa"/>
            <w:hideMark/>
          </w:tcPr>
          <w:p w14:paraId="6416E595" w14:textId="77777777" w:rsidR="00C96E15" w:rsidRDefault="00C96E15" w:rsidP="00FA2663">
            <w:pPr>
              <w:pStyle w:val="NormalWeb"/>
              <w:jc w:val="center"/>
            </w:pPr>
            <w:r>
              <w:t>12</w:t>
            </w:r>
          </w:p>
        </w:tc>
        <w:tc>
          <w:tcPr>
            <w:tcW w:w="2340" w:type="dxa"/>
            <w:hideMark/>
          </w:tcPr>
          <w:p w14:paraId="5D7267CF" w14:textId="77777777" w:rsidR="00C96E15" w:rsidRDefault="00C96E15" w:rsidP="00FA2663">
            <w:pPr>
              <w:pStyle w:val="NormalWeb"/>
              <w:jc w:val="center"/>
            </w:pPr>
            <w:r>
              <w:t>1.2%</w:t>
            </w:r>
          </w:p>
        </w:tc>
      </w:tr>
      <w:tr w:rsidR="00C96E15" w14:paraId="7D6FFAD0" w14:textId="77777777" w:rsidTr="00FA2663">
        <w:tblPrEx>
          <w:tblCellMar>
            <w:top w:w="57" w:type="dxa"/>
            <w:left w:w="57" w:type="dxa"/>
            <w:bottom w:w="57" w:type="dxa"/>
            <w:right w:w="57" w:type="dxa"/>
          </w:tblCellMar>
        </w:tblPrEx>
        <w:tc>
          <w:tcPr>
            <w:tcW w:w="0" w:type="auto"/>
            <w:hideMark/>
          </w:tcPr>
          <w:p w14:paraId="2C3B04B1" w14:textId="77777777" w:rsidR="00C96E15" w:rsidRDefault="00C96E15" w:rsidP="00FA2663">
            <w:pPr>
              <w:pStyle w:val="NormalWeb"/>
            </w:pPr>
            <w:r>
              <w:t>40–49</w:t>
            </w:r>
          </w:p>
        </w:tc>
        <w:tc>
          <w:tcPr>
            <w:tcW w:w="1469" w:type="dxa"/>
            <w:hideMark/>
          </w:tcPr>
          <w:p w14:paraId="6F2FCE5E" w14:textId="77777777" w:rsidR="00C96E15" w:rsidRDefault="00C96E15" w:rsidP="00FA2663">
            <w:pPr>
              <w:pStyle w:val="NormalWeb"/>
              <w:jc w:val="center"/>
            </w:pPr>
            <w:r>
              <w:t>658</w:t>
            </w:r>
          </w:p>
        </w:tc>
        <w:tc>
          <w:tcPr>
            <w:tcW w:w="1533" w:type="dxa"/>
            <w:hideMark/>
          </w:tcPr>
          <w:p w14:paraId="180CE4B6" w14:textId="77777777" w:rsidR="00C96E15" w:rsidRDefault="00C96E15" w:rsidP="00FA2663">
            <w:pPr>
              <w:pStyle w:val="NormalWeb"/>
              <w:jc w:val="center"/>
            </w:pPr>
            <w:r>
              <w:t>81</w:t>
            </w:r>
          </w:p>
        </w:tc>
        <w:tc>
          <w:tcPr>
            <w:tcW w:w="2470" w:type="dxa"/>
            <w:hideMark/>
          </w:tcPr>
          <w:p w14:paraId="41AED7A2" w14:textId="77777777" w:rsidR="00C96E15" w:rsidRDefault="00C96E15" w:rsidP="00FA2663">
            <w:pPr>
              <w:pStyle w:val="NormalWeb"/>
              <w:jc w:val="center"/>
            </w:pPr>
            <w:r>
              <w:t>12.3%</w:t>
            </w:r>
          </w:p>
        </w:tc>
        <w:tc>
          <w:tcPr>
            <w:tcW w:w="1403" w:type="dxa"/>
            <w:hideMark/>
          </w:tcPr>
          <w:p w14:paraId="6B93408F" w14:textId="77777777" w:rsidR="00C96E15" w:rsidRDefault="00C96E15" w:rsidP="00FA2663">
            <w:pPr>
              <w:pStyle w:val="NormalWeb"/>
              <w:jc w:val="center"/>
            </w:pPr>
            <w:r>
              <w:t>10</w:t>
            </w:r>
          </w:p>
        </w:tc>
        <w:tc>
          <w:tcPr>
            <w:tcW w:w="2340" w:type="dxa"/>
            <w:hideMark/>
          </w:tcPr>
          <w:p w14:paraId="0B209E92" w14:textId="77777777" w:rsidR="00C96E15" w:rsidRDefault="00C96E15" w:rsidP="00FA2663">
            <w:pPr>
              <w:pStyle w:val="NormalWeb"/>
              <w:jc w:val="center"/>
            </w:pPr>
            <w:r>
              <w:t>1.5%</w:t>
            </w:r>
          </w:p>
        </w:tc>
      </w:tr>
      <w:tr w:rsidR="00C96E15" w14:paraId="43C02804"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4BF5EB1B" w14:textId="77777777" w:rsidR="00C96E15" w:rsidRDefault="00C96E15" w:rsidP="00FA2663">
            <w:pPr>
              <w:pStyle w:val="NormalWeb"/>
            </w:pPr>
            <w:r>
              <w:t>50–59</w:t>
            </w:r>
          </w:p>
        </w:tc>
        <w:tc>
          <w:tcPr>
            <w:tcW w:w="1469" w:type="dxa"/>
            <w:hideMark/>
          </w:tcPr>
          <w:p w14:paraId="34495A3A" w14:textId="77777777" w:rsidR="00C96E15" w:rsidRDefault="00C96E15" w:rsidP="00FA2663">
            <w:pPr>
              <w:pStyle w:val="NormalWeb"/>
              <w:jc w:val="center"/>
            </w:pPr>
            <w:r>
              <w:t>594</w:t>
            </w:r>
          </w:p>
        </w:tc>
        <w:tc>
          <w:tcPr>
            <w:tcW w:w="1533" w:type="dxa"/>
            <w:hideMark/>
          </w:tcPr>
          <w:p w14:paraId="7D1740BA" w14:textId="77777777" w:rsidR="00C96E15" w:rsidRDefault="00C96E15" w:rsidP="00FA2663">
            <w:pPr>
              <w:pStyle w:val="NormalWeb"/>
              <w:jc w:val="center"/>
            </w:pPr>
            <w:r>
              <w:t>114</w:t>
            </w:r>
          </w:p>
        </w:tc>
        <w:tc>
          <w:tcPr>
            <w:tcW w:w="2470" w:type="dxa"/>
            <w:hideMark/>
          </w:tcPr>
          <w:p w14:paraId="001B21BA" w14:textId="77777777" w:rsidR="00C96E15" w:rsidRDefault="00C96E15" w:rsidP="00FA2663">
            <w:pPr>
              <w:pStyle w:val="NormalWeb"/>
              <w:jc w:val="center"/>
            </w:pPr>
            <w:r>
              <w:t>19.2%</w:t>
            </w:r>
          </w:p>
        </w:tc>
        <w:tc>
          <w:tcPr>
            <w:tcW w:w="1403" w:type="dxa"/>
            <w:hideMark/>
          </w:tcPr>
          <w:p w14:paraId="2BE97D51" w14:textId="77777777" w:rsidR="00C96E15" w:rsidRDefault="00C96E15" w:rsidP="00FA2663">
            <w:pPr>
              <w:pStyle w:val="NormalWeb"/>
              <w:jc w:val="center"/>
            </w:pPr>
            <w:r>
              <w:t>26</w:t>
            </w:r>
          </w:p>
        </w:tc>
        <w:tc>
          <w:tcPr>
            <w:tcW w:w="2340" w:type="dxa"/>
            <w:hideMark/>
          </w:tcPr>
          <w:p w14:paraId="37794E5D" w14:textId="77777777" w:rsidR="00C96E15" w:rsidRDefault="00C96E15" w:rsidP="00FA2663">
            <w:pPr>
              <w:pStyle w:val="NormalWeb"/>
              <w:jc w:val="center"/>
            </w:pPr>
            <w:r>
              <w:t>4.4%</w:t>
            </w:r>
          </w:p>
        </w:tc>
      </w:tr>
      <w:tr w:rsidR="00C96E15" w14:paraId="7950CCFD" w14:textId="77777777" w:rsidTr="00FA2663">
        <w:tblPrEx>
          <w:tblCellMar>
            <w:top w:w="57" w:type="dxa"/>
            <w:left w:w="57" w:type="dxa"/>
            <w:bottom w:w="57" w:type="dxa"/>
            <w:right w:w="57" w:type="dxa"/>
          </w:tblCellMar>
        </w:tblPrEx>
        <w:tc>
          <w:tcPr>
            <w:tcW w:w="0" w:type="auto"/>
            <w:hideMark/>
          </w:tcPr>
          <w:p w14:paraId="3DCC0050" w14:textId="77777777" w:rsidR="00C96E15" w:rsidRDefault="00C96E15" w:rsidP="00FA2663">
            <w:pPr>
              <w:pStyle w:val="NormalWeb"/>
            </w:pPr>
            <w:r>
              <w:t>60–69</w:t>
            </w:r>
          </w:p>
        </w:tc>
        <w:tc>
          <w:tcPr>
            <w:tcW w:w="1469" w:type="dxa"/>
            <w:hideMark/>
          </w:tcPr>
          <w:p w14:paraId="5634D541" w14:textId="77777777" w:rsidR="00C96E15" w:rsidRDefault="00C96E15" w:rsidP="00FA2663">
            <w:pPr>
              <w:pStyle w:val="NormalWeb"/>
              <w:jc w:val="center"/>
            </w:pPr>
            <w:r>
              <w:t>304</w:t>
            </w:r>
          </w:p>
        </w:tc>
        <w:tc>
          <w:tcPr>
            <w:tcW w:w="1533" w:type="dxa"/>
            <w:hideMark/>
          </w:tcPr>
          <w:p w14:paraId="43E5F06F" w14:textId="77777777" w:rsidR="00C96E15" w:rsidRDefault="00C96E15" w:rsidP="00FA2663">
            <w:pPr>
              <w:pStyle w:val="NormalWeb"/>
              <w:jc w:val="center"/>
            </w:pPr>
            <w:r>
              <w:t>81</w:t>
            </w:r>
          </w:p>
        </w:tc>
        <w:tc>
          <w:tcPr>
            <w:tcW w:w="2470" w:type="dxa"/>
            <w:hideMark/>
          </w:tcPr>
          <w:p w14:paraId="6745B9A6" w14:textId="77777777" w:rsidR="00C96E15" w:rsidRDefault="00C96E15" w:rsidP="00FA2663">
            <w:pPr>
              <w:pStyle w:val="NormalWeb"/>
              <w:jc w:val="center"/>
            </w:pPr>
            <w:r>
              <w:t>26.6%</w:t>
            </w:r>
          </w:p>
        </w:tc>
        <w:tc>
          <w:tcPr>
            <w:tcW w:w="1403" w:type="dxa"/>
            <w:hideMark/>
          </w:tcPr>
          <w:p w14:paraId="78F001A6" w14:textId="77777777" w:rsidR="00C96E15" w:rsidRDefault="00C96E15" w:rsidP="00FA2663">
            <w:pPr>
              <w:pStyle w:val="NormalWeb"/>
              <w:jc w:val="center"/>
            </w:pPr>
            <w:r>
              <w:t>34</w:t>
            </w:r>
          </w:p>
        </w:tc>
        <w:tc>
          <w:tcPr>
            <w:tcW w:w="2340" w:type="dxa"/>
            <w:hideMark/>
          </w:tcPr>
          <w:p w14:paraId="2A7C302C" w14:textId="77777777" w:rsidR="00C96E15" w:rsidRDefault="00C96E15" w:rsidP="00FA2663">
            <w:pPr>
              <w:pStyle w:val="NormalWeb"/>
              <w:jc w:val="center"/>
            </w:pPr>
            <w:r>
              <w:t>11.2%</w:t>
            </w:r>
          </w:p>
        </w:tc>
      </w:tr>
      <w:tr w:rsidR="00C96E15" w14:paraId="74BD0817"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2BD51147" w14:textId="77777777" w:rsidR="00C96E15" w:rsidRDefault="00C96E15" w:rsidP="00FA2663">
            <w:pPr>
              <w:pStyle w:val="NormalWeb"/>
            </w:pPr>
            <w:r>
              <w:t>70–79</w:t>
            </w:r>
          </w:p>
        </w:tc>
        <w:tc>
          <w:tcPr>
            <w:tcW w:w="1469" w:type="dxa"/>
            <w:hideMark/>
          </w:tcPr>
          <w:p w14:paraId="2804A4F0" w14:textId="77777777" w:rsidR="00C96E15" w:rsidRDefault="00C96E15" w:rsidP="00FA2663">
            <w:pPr>
              <w:pStyle w:val="NormalWeb"/>
              <w:jc w:val="center"/>
            </w:pPr>
            <w:r>
              <w:t>130</w:t>
            </w:r>
          </w:p>
        </w:tc>
        <w:tc>
          <w:tcPr>
            <w:tcW w:w="1533" w:type="dxa"/>
            <w:hideMark/>
          </w:tcPr>
          <w:p w14:paraId="5538645A" w14:textId="77777777" w:rsidR="00C96E15" w:rsidRDefault="00C96E15" w:rsidP="00FA2663">
            <w:pPr>
              <w:pStyle w:val="NormalWeb"/>
              <w:jc w:val="center"/>
            </w:pPr>
            <w:r>
              <w:t>56</w:t>
            </w:r>
          </w:p>
        </w:tc>
        <w:tc>
          <w:tcPr>
            <w:tcW w:w="2470" w:type="dxa"/>
            <w:hideMark/>
          </w:tcPr>
          <w:p w14:paraId="6F6EB060" w14:textId="77777777" w:rsidR="00C96E15" w:rsidRDefault="00C96E15" w:rsidP="00FA2663">
            <w:pPr>
              <w:pStyle w:val="NormalWeb"/>
              <w:jc w:val="center"/>
            </w:pPr>
            <w:r>
              <w:t>43.1%</w:t>
            </w:r>
          </w:p>
        </w:tc>
        <w:tc>
          <w:tcPr>
            <w:tcW w:w="1403" w:type="dxa"/>
            <w:hideMark/>
          </w:tcPr>
          <w:p w14:paraId="0471515C" w14:textId="77777777" w:rsidR="00C96E15" w:rsidRDefault="00C96E15" w:rsidP="00FA2663">
            <w:pPr>
              <w:pStyle w:val="NormalWeb"/>
              <w:jc w:val="center"/>
            </w:pPr>
            <w:r>
              <w:t>13</w:t>
            </w:r>
          </w:p>
        </w:tc>
        <w:tc>
          <w:tcPr>
            <w:tcW w:w="2340" w:type="dxa"/>
            <w:hideMark/>
          </w:tcPr>
          <w:p w14:paraId="0A4ADAEA" w14:textId="77777777" w:rsidR="00C96E15" w:rsidRDefault="00C96E15" w:rsidP="00FA2663">
            <w:pPr>
              <w:pStyle w:val="NormalWeb"/>
              <w:jc w:val="center"/>
            </w:pPr>
            <w:r>
              <w:t>10.0%</w:t>
            </w:r>
          </w:p>
        </w:tc>
      </w:tr>
      <w:tr w:rsidR="00C96E15" w14:paraId="074AA96B" w14:textId="77777777" w:rsidTr="00FA2663">
        <w:tblPrEx>
          <w:tblCellMar>
            <w:top w:w="57" w:type="dxa"/>
            <w:left w:w="57" w:type="dxa"/>
            <w:bottom w:w="57" w:type="dxa"/>
            <w:right w:w="57" w:type="dxa"/>
          </w:tblCellMar>
        </w:tblPrEx>
        <w:tc>
          <w:tcPr>
            <w:tcW w:w="0" w:type="auto"/>
            <w:hideMark/>
          </w:tcPr>
          <w:p w14:paraId="12EC4655" w14:textId="77777777" w:rsidR="00C96E15" w:rsidRDefault="00C96E15" w:rsidP="00FA2663">
            <w:pPr>
              <w:pStyle w:val="NormalWeb"/>
            </w:pPr>
            <w:r>
              <w:t>80–89</w:t>
            </w:r>
          </w:p>
        </w:tc>
        <w:tc>
          <w:tcPr>
            <w:tcW w:w="1469" w:type="dxa"/>
            <w:hideMark/>
          </w:tcPr>
          <w:p w14:paraId="0D52D49E" w14:textId="77777777" w:rsidR="00C96E15" w:rsidRDefault="00C96E15" w:rsidP="00FA2663">
            <w:pPr>
              <w:pStyle w:val="NormalWeb"/>
              <w:jc w:val="center"/>
            </w:pPr>
            <w:r>
              <w:t>77</w:t>
            </w:r>
          </w:p>
        </w:tc>
        <w:tc>
          <w:tcPr>
            <w:tcW w:w="1533" w:type="dxa"/>
            <w:hideMark/>
          </w:tcPr>
          <w:p w14:paraId="3DB36B8B" w14:textId="77777777" w:rsidR="00C96E15" w:rsidRDefault="00C96E15" w:rsidP="00FA2663">
            <w:pPr>
              <w:pStyle w:val="NormalWeb"/>
              <w:jc w:val="center"/>
            </w:pPr>
            <w:r>
              <w:t>43</w:t>
            </w:r>
          </w:p>
        </w:tc>
        <w:tc>
          <w:tcPr>
            <w:tcW w:w="2470" w:type="dxa"/>
            <w:hideMark/>
          </w:tcPr>
          <w:p w14:paraId="27318B8A" w14:textId="77777777" w:rsidR="00C96E15" w:rsidRDefault="00C96E15" w:rsidP="00FA2663">
            <w:pPr>
              <w:pStyle w:val="NormalWeb"/>
              <w:jc w:val="center"/>
            </w:pPr>
            <w:r>
              <w:t>55.8%</w:t>
            </w:r>
          </w:p>
        </w:tc>
        <w:tc>
          <w:tcPr>
            <w:tcW w:w="1403" w:type="dxa"/>
            <w:hideMark/>
          </w:tcPr>
          <w:p w14:paraId="32C2F105" w14:textId="77777777" w:rsidR="00C96E15" w:rsidRDefault="00C96E15" w:rsidP="00FA2663">
            <w:pPr>
              <w:pStyle w:val="NormalWeb"/>
              <w:jc w:val="center"/>
            </w:pPr>
            <w:r>
              <w:t>5</w:t>
            </w:r>
          </w:p>
        </w:tc>
        <w:tc>
          <w:tcPr>
            <w:tcW w:w="2340" w:type="dxa"/>
            <w:hideMark/>
          </w:tcPr>
          <w:p w14:paraId="7BA51605" w14:textId="77777777" w:rsidR="00C96E15" w:rsidRDefault="00C96E15" w:rsidP="00FA2663">
            <w:pPr>
              <w:pStyle w:val="NormalWeb"/>
              <w:jc w:val="center"/>
            </w:pPr>
            <w:r>
              <w:t>6.5%</w:t>
            </w:r>
          </w:p>
        </w:tc>
      </w:tr>
      <w:tr w:rsidR="00C96E15" w14:paraId="315E8CF7"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14:paraId="56521B0D" w14:textId="77777777" w:rsidR="00C96E15" w:rsidRDefault="00C96E15" w:rsidP="00FA2663">
            <w:pPr>
              <w:pStyle w:val="NormalWeb"/>
            </w:pPr>
            <w:r>
              <w:t>90+</w:t>
            </w:r>
          </w:p>
        </w:tc>
        <w:tc>
          <w:tcPr>
            <w:tcW w:w="1469" w:type="dxa"/>
            <w:hideMark/>
          </w:tcPr>
          <w:p w14:paraId="26E4AFDE" w14:textId="77777777" w:rsidR="00C96E15" w:rsidRDefault="00C96E15" w:rsidP="00FA2663">
            <w:pPr>
              <w:pStyle w:val="NormalWeb"/>
              <w:jc w:val="center"/>
            </w:pPr>
            <w:r>
              <w:t>17</w:t>
            </w:r>
          </w:p>
        </w:tc>
        <w:tc>
          <w:tcPr>
            <w:tcW w:w="1533" w:type="dxa"/>
            <w:hideMark/>
          </w:tcPr>
          <w:p w14:paraId="2E3BB1F0" w14:textId="77777777" w:rsidR="00C96E15" w:rsidRDefault="00C96E15" w:rsidP="00FA2663">
            <w:pPr>
              <w:pStyle w:val="NormalWeb"/>
              <w:jc w:val="center"/>
            </w:pPr>
            <w:r>
              <w:t>11</w:t>
            </w:r>
          </w:p>
        </w:tc>
        <w:tc>
          <w:tcPr>
            <w:tcW w:w="2470" w:type="dxa"/>
            <w:hideMark/>
          </w:tcPr>
          <w:p w14:paraId="4326194E" w14:textId="77777777" w:rsidR="00C96E15" w:rsidRDefault="00C96E15" w:rsidP="00FA2663">
            <w:pPr>
              <w:pStyle w:val="NormalWeb"/>
              <w:jc w:val="center"/>
            </w:pPr>
            <w:r>
              <w:t>64.7%</w:t>
            </w:r>
          </w:p>
        </w:tc>
        <w:tc>
          <w:tcPr>
            <w:tcW w:w="1403" w:type="dxa"/>
            <w:hideMark/>
          </w:tcPr>
          <w:p w14:paraId="27A5AC5D" w14:textId="77777777" w:rsidR="00C96E15" w:rsidRDefault="00C96E15" w:rsidP="00FA2663">
            <w:pPr>
              <w:pStyle w:val="NormalWeb"/>
              <w:jc w:val="center"/>
            </w:pPr>
            <w:r>
              <w:t>0</w:t>
            </w:r>
          </w:p>
        </w:tc>
        <w:tc>
          <w:tcPr>
            <w:tcW w:w="2340" w:type="dxa"/>
            <w:hideMark/>
          </w:tcPr>
          <w:p w14:paraId="19D23C43" w14:textId="77777777" w:rsidR="00C96E15" w:rsidRDefault="00C96E15" w:rsidP="00FA2663">
            <w:pPr>
              <w:pStyle w:val="NormalWeb"/>
              <w:jc w:val="center"/>
            </w:pPr>
            <w:r>
              <w:t>0.0%</w:t>
            </w:r>
          </w:p>
        </w:tc>
      </w:tr>
      <w:tr w:rsidR="00C96E15" w:rsidRPr="000C6B64" w14:paraId="454B5952" w14:textId="77777777" w:rsidTr="00FA2663">
        <w:tblPrEx>
          <w:tblCellMar>
            <w:top w:w="57" w:type="dxa"/>
            <w:left w:w="57" w:type="dxa"/>
            <w:bottom w:w="57" w:type="dxa"/>
            <w:right w:w="57" w:type="dxa"/>
          </w:tblCellMar>
        </w:tblPrEx>
        <w:tc>
          <w:tcPr>
            <w:tcW w:w="0" w:type="auto"/>
            <w:shd w:val="clear" w:color="auto" w:fill="FDE9D9" w:themeFill="accent6" w:themeFillTint="33"/>
            <w:hideMark/>
          </w:tcPr>
          <w:p w14:paraId="1352A32B" w14:textId="77777777" w:rsidR="00C96E15" w:rsidRPr="000C6B64" w:rsidRDefault="00C96E15" w:rsidP="00FA2663">
            <w:pPr>
              <w:pStyle w:val="NormalWeb"/>
              <w:rPr>
                <w:b/>
                <w:bCs/>
              </w:rPr>
            </w:pPr>
            <w:r w:rsidRPr="000C6B64">
              <w:rPr>
                <w:b/>
                <w:bCs/>
              </w:rPr>
              <w:t>Total</w:t>
            </w:r>
          </w:p>
        </w:tc>
        <w:tc>
          <w:tcPr>
            <w:tcW w:w="1469" w:type="dxa"/>
            <w:shd w:val="clear" w:color="auto" w:fill="FDE9D9" w:themeFill="accent6" w:themeFillTint="33"/>
            <w:hideMark/>
          </w:tcPr>
          <w:p w14:paraId="644A6E61" w14:textId="77777777" w:rsidR="00C96E15" w:rsidRPr="000C6B64" w:rsidRDefault="00C96E15" w:rsidP="00FA2663">
            <w:pPr>
              <w:pStyle w:val="NormalWeb"/>
              <w:jc w:val="center"/>
              <w:rPr>
                <w:b/>
                <w:bCs/>
              </w:rPr>
            </w:pPr>
            <w:r w:rsidRPr="000C6B64">
              <w:rPr>
                <w:b/>
                <w:bCs/>
              </w:rPr>
              <w:t>5,095</w:t>
            </w:r>
          </w:p>
        </w:tc>
        <w:tc>
          <w:tcPr>
            <w:tcW w:w="1533" w:type="dxa"/>
            <w:shd w:val="clear" w:color="auto" w:fill="FDE9D9" w:themeFill="accent6" w:themeFillTint="33"/>
            <w:hideMark/>
          </w:tcPr>
          <w:p w14:paraId="16795D34" w14:textId="77777777" w:rsidR="00C96E15" w:rsidRPr="000C6B64" w:rsidRDefault="00C96E15" w:rsidP="00FA2663">
            <w:pPr>
              <w:pStyle w:val="NormalWeb"/>
              <w:jc w:val="center"/>
              <w:rPr>
                <w:b/>
                <w:bCs/>
              </w:rPr>
            </w:pPr>
            <w:r w:rsidRPr="000C6B64">
              <w:rPr>
                <w:b/>
                <w:bCs/>
              </w:rPr>
              <w:t>592</w:t>
            </w:r>
          </w:p>
        </w:tc>
        <w:tc>
          <w:tcPr>
            <w:tcW w:w="2470" w:type="dxa"/>
            <w:shd w:val="clear" w:color="auto" w:fill="FDE9D9" w:themeFill="accent6" w:themeFillTint="33"/>
            <w:hideMark/>
          </w:tcPr>
          <w:p w14:paraId="48F93ED3" w14:textId="77777777" w:rsidR="00C96E15" w:rsidRPr="000C6B64" w:rsidRDefault="00C96E15" w:rsidP="00FA2663">
            <w:pPr>
              <w:pStyle w:val="NormalWeb"/>
              <w:jc w:val="center"/>
              <w:rPr>
                <w:b/>
                <w:bCs/>
              </w:rPr>
            </w:pPr>
            <w:r w:rsidRPr="000C6B64">
              <w:rPr>
                <w:b/>
                <w:bCs/>
              </w:rPr>
              <w:t>11.6%</w:t>
            </w:r>
          </w:p>
        </w:tc>
        <w:tc>
          <w:tcPr>
            <w:tcW w:w="1403" w:type="dxa"/>
            <w:shd w:val="clear" w:color="auto" w:fill="FDE9D9" w:themeFill="accent6" w:themeFillTint="33"/>
            <w:hideMark/>
          </w:tcPr>
          <w:p w14:paraId="1CEC0191" w14:textId="77777777" w:rsidR="00C96E15" w:rsidRPr="000C6B64" w:rsidRDefault="00C96E15" w:rsidP="00FA2663">
            <w:pPr>
              <w:pStyle w:val="NormalWeb"/>
              <w:jc w:val="center"/>
              <w:rPr>
                <w:b/>
                <w:bCs/>
              </w:rPr>
            </w:pPr>
            <w:r w:rsidRPr="000C6B64">
              <w:rPr>
                <w:b/>
                <w:bCs/>
              </w:rPr>
              <w:t>117</w:t>
            </w:r>
          </w:p>
        </w:tc>
        <w:tc>
          <w:tcPr>
            <w:tcW w:w="2340" w:type="dxa"/>
            <w:shd w:val="clear" w:color="auto" w:fill="FDE9D9" w:themeFill="accent6" w:themeFillTint="33"/>
            <w:hideMark/>
          </w:tcPr>
          <w:p w14:paraId="2504D425" w14:textId="77777777" w:rsidR="00C96E15" w:rsidRPr="000C6B64" w:rsidRDefault="00C96E15" w:rsidP="00FA2663">
            <w:pPr>
              <w:pStyle w:val="NormalWeb"/>
              <w:jc w:val="center"/>
              <w:rPr>
                <w:b/>
                <w:bCs/>
              </w:rPr>
            </w:pPr>
            <w:r w:rsidRPr="000C6B64">
              <w:rPr>
                <w:b/>
                <w:bCs/>
              </w:rPr>
              <w:t>2.3%</w:t>
            </w:r>
          </w:p>
        </w:tc>
      </w:tr>
    </w:tbl>
    <w:p w14:paraId="76AE7C5F" w14:textId="77777777" w:rsidR="00C96E15" w:rsidRDefault="00C96E15" w:rsidP="00C96E15">
      <w:pPr>
        <w:pStyle w:val="CDIfootnotes"/>
        <w:rPr>
          <w:lang w:val="en-GB"/>
        </w:rPr>
      </w:pPr>
      <w:r>
        <w:rPr>
          <w:lang w:val="en-GB"/>
        </w:rPr>
        <w:t>a</w:t>
      </w:r>
      <w:r>
        <w:rPr>
          <w:lang w:val="en-GB"/>
        </w:rPr>
        <w:tab/>
        <w:t>Source: NNDSS, extract from 3 August 2021, based on notification received date.</w:t>
      </w:r>
    </w:p>
    <w:p w14:paraId="2D9EF947" w14:textId="28A4BA15" w:rsidR="00C96E15" w:rsidRPr="00C96E15" w:rsidRDefault="00C96E15" w:rsidP="00C96E15">
      <w:pPr>
        <w:pStyle w:val="CDIfootnotes"/>
        <w:rPr>
          <w:lang w:val="en-GB"/>
        </w:rPr>
      </w:pPr>
      <w:r>
        <w:rPr>
          <w:lang w:val="en-GB"/>
        </w:rPr>
        <w:t>b</w:t>
      </w:r>
      <w:r>
        <w:rPr>
          <w:lang w:val="en-GB"/>
        </w:rPr>
        <w:tab/>
        <w:t xml:space="preserve">Data included from six jurisdictions with the most reliable data across both hospital and ICU data fields: Australian Capital Territory, New South Wales, South Australia, Tasmania, </w:t>
      </w:r>
      <w:proofErr w:type="gramStart"/>
      <w:r>
        <w:rPr>
          <w:lang w:val="en-GB"/>
        </w:rPr>
        <w:t>Victoria</w:t>
      </w:r>
      <w:proofErr w:type="gramEnd"/>
      <w:r>
        <w:rPr>
          <w:lang w:val="en-GB"/>
        </w:rPr>
        <w:t xml:space="preserve"> and Western Australia. This is based on an assessment of data from SPRINT-SARI and NNDSS.</w:t>
      </w:r>
    </w:p>
    <w:p w14:paraId="6D31B467" w14:textId="33750EF5" w:rsidR="00E77137" w:rsidRDefault="00E77137" w:rsidP="00E77137">
      <w:r>
        <w:t>In the year to date to 1 August 2021, there have been 171 COVID-19 cases admitted to ICUs participating in the sentinel surveillance system, Short Period Incidence Study of Severe Acute Respiratory Infection (SPRINT-SARI),</w:t>
      </w:r>
      <w:r>
        <w:rPr>
          <w:vertAlign w:val="superscript"/>
        </w:rPr>
        <w:t>4</w:t>
      </w:r>
      <w:r>
        <w:t xml:space="preserve"> with 90 of these admitted during this reporting period (19 July – 1 August 2021). </w:t>
      </w:r>
    </w:p>
    <w:p w14:paraId="26E2C41D" w14:textId="77777777" w:rsidR="00E77137" w:rsidRPr="00E77137" w:rsidRDefault="00E77137" w:rsidP="00E77137">
      <w:pPr>
        <w:pStyle w:val="Heading3"/>
      </w:pPr>
      <w:r w:rsidRPr="00E77137">
        <w:t xml:space="preserve">Risk factors for severe disease </w:t>
      </w:r>
    </w:p>
    <w:p w14:paraId="648A4734" w14:textId="34026F2A" w:rsidR="00E77137" w:rsidRDefault="00E77137" w:rsidP="00E77137">
      <w:r>
        <w:t>The hospitalisation rate for COVID-19 cases in the year to date has increased with advancing 10-year age bracket</w:t>
      </w:r>
      <w:r w:rsidR="007434B2">
        <w:t> </w:t>
      </w:r>
      <w:r>
        <w:t xml:space="preserve">(Table 5). </w:t>
      </w:r>
    </w:p>
    <w:p w14:paraId="27DA7859" w14:textId="69E1A488" w:rsidR="00EB2C2E" w:rsidRDefault="00E77137" w:rsidP="00E77137">
      <w:r>
        <w:t xml:space="preserve">Comorbidity data extracted from SPRINT-SARI reflect the sickest patients with COVID-19 managed in ICU; data are therefore not generalisable to all cases (Table 6). In patients admitted to ICU with COVID-19 since 1 February 2021, the most prevalent comorbidity was diabetes, following by obesity (a body mass index of &gt; 30 or weight over 120 </w:t>
      </w:r>
      <w:r>
        <w:lastRenderedPageBreak/>
        <w:t xml:space="preserve">kg). Of those adult patients admitted to ICU this year for whom comorbidity data was known, 55% (85/154) had at least one comorbidity; 45% (69/154) of patients had none of the listed comorbidities recorded. </w:t>
      </w:r>
    </w:p>
    <w:p w14:paraId="7B41FD5F" w14:textId="77777777" w:rsidR="00EB2C2E" w:rsidRPr="000C6B64" w:rsidRDefault="00EB2C2E" w:rsidP="00EB2C2E">
      <w:pPr>
        <w:pStyle w:val="CDIFigures"/>
      </w:pPr>
      <w:r w:rsidRPr="000C6B64">
        <w:rPr>
          <w:rStyle w:val="Strong"/>
          <w:b/>
          <w:bCs w:val="0"/>
        </w:rPr>
        <w:t>Table 6: Comorbidities for adult COVID-19 cases (aged greater than or equal to 18 years) amongst those admitted to ICU, Australia, 1 February 2021 – 18 July 2021</w:t>
      </w:r>
      <w:r w:rsidRPr="000C6B64">
        <w:rPr>
          <w:rStyle w:val="Strong"/>
          <w:b/>
          <w:bCs w:val="0"/>
          <w:vertAlign w:val="superscript"/>
        </w:rPr>
        <w:t>a</w:t>
      </w:r>
      <w:r w:rsidRPr="000C6B64">
        <w:rPr>
          <w:rStyle w:val="Strong"/>
          <w:b/>
          <w:bCs w:val="0"/>
        </w:rPr>
        <w:t xml:space="preserve"> </w:t>
      </w:r>
    </w:p>
    <w:tbl>
      <w:tblPr>
        <w:tblStyle w:val="CDI-StandardTable"/>
        <w:tblW w:w="0" w:type="auto"/>
        <w:tblLook w:val="04A0" w:firstRow="1" w:lastRow="0" w:firstColumn="1" w:lastColumn="0" w:noHBand="0" w:noVBand="1"/>
        <w:tblDescription w:val="A table summarising the incidence of comorbidities among adult COVID-19 cases admitted to ICU for the calendar year to date. Among cases admitted to ICU this year, the most frequent comorbidities have been diabetes (31%) and obesity (26%). Almost half of this year’s ICU cases (45%) did not have any listed comorbidities; 17% of ICU cases had two or more comorbidities, with 5% (8 cases) having three or more comorbidities."/>
      </w:tblPr>
      <w:tblGrid>
        <w:gridCol w:w="8364"/>
        <w:gridCol w:w="2076"/>
      </w:tblGrid>
      <w:tr w:rsidR="00EB2C2E" w:rsidRPr="000C6B64" w14:paraId="1E7E2C23" w14:textId="77777777" w:rsidTr="00FA2663">
        <w:trPr>
          <w:cnfStyle w:val="100000000000" w:firstRow="1" w:lastRow="0" w:firstColumn="0" w:lastColumn="0" w:oddVBand="0" w:evenVBand="0" w:oddHBand="0" w:evenHBand="0" w:firstRowFirstColumn="0" w:firstRowLastColumn="0" w:lastRowFirstColumn="0" w:lastRowLastColumn="0"/>
        </w:trPr>
        <w:tc>
          <w:tcPr>
            <w:tcW w:w="8364" w:type="dxa"/>
            <w:tcBorders>
              <w:right w:val="single" w:sz="2" w:space="0" w:color="FFFFFF" w:themeColor="background1"/>
            </w:tcBorders>
            <w:vAlign w:val="center"/>
            <w:hideMark/>
          </w:tcPr>
          <w:p w14:paraId="2DA221E5" w14:textId="77777777" w:rsidR="00EB2C2E" w:rsidRPr="000C6B64" w:rsidRDefault="00EB2C2E" w:rsidP="00FA2663">
            <w:pPr>
              <w:pStyle w:val="NormalWeb"/>
              <w:rPr>
                <w:color w:val="FFFFFF" w:themeColor="background1"/>
              </w:rPr>
            </w:pPr>
            <w:r w:rsidRPr="000C6B64">
              <w:rPr>
                <w:color w:val="FFFFFF" w:themeColor="background1"/>
              </w:rPr>
              <w:t>Comorbidity</w:t>
            </w:r>
          </w:p>
        </w:tc>
        <w:tc>
          <w:tcPr>
            <w:tcW w:w="2076" w:type="dxa"/>
            <w:tcBorders>
              <w:left w:val="single" w:sz="2" w:space="0" w:color="FFFFFF" w:themeColor="background1"/>
            </w:tcBorders>
            <w:vAlign w:val="center"/>
            <w:hideMark/>
          </w:tcPr>
          <w:p w14:paraId="3FFB15C0" w14:textId="77777777" w:rsidR="00EB2C2E" w:rsidRPr="000C6B64" w:rsidRDefault="00EB2C2E" w:rsidP="00FA2663">
            <w:pPr>
              <w:pStyle w:val="NormalWeb"/>
              <w:jc w:val="center"/>
              <w:rPr>
                <w:color w:val="FFFFFF" w:themeColor="background1"/>
              </w:rPr>
            </w:pPr>
            <w:r w:rsidRPr="000C6B64">
              <w:rPr>
                <w:color w:val="FFFFFF" w:themeColor="background1"/>
              </w:rPr>
              <w:t xml:space="preserve">ICU </w:t>
            </w:r>
            <w:proofErr w:type="spellStart"/>
            <w:r w:rsidRPr="000C6B64">
              <w:rPr>
                <w:color w:val="FFFFFF" w:themeColor="background1"/>
              </w:rPr>
              <w:t>cases</w:t>
            </w:r>
            <w:r w:rsidRPr="008C3EDE">
              <w:rPr>
                <w:color w:val="FFFFFF" w:themeColor="background1"/>
                <w:vertAlign w:val="superscript"/>
              </w:rPr>
              <w:t>a</w:t>
            </w:r>
            <w:proofErr w:type="spellEnd"/>
            <w:r w:rsidRPr="000C6B64">
              <w:rPr>
                <w:color w:val="FFFFFF" w:themeColor="background1"/>
              </w:rPr>
              <w:br/>
              <w:t>(n = 169)</w:t>
            </w:r>
            <w:r w:rsidRPr="000C6B64">
              <w:rPr>
                <w:color w:val="FFFFFF" w:themeColor="background1"/>
              </w:rPr>
              <w:br/>
              <w:t>(%)</w:t>
            </w:r>
          </w:p>
        </w:tc>
      </w:tr>
      <w:tr w:rsidR="00EB2C2E" w14:paraId="5D2DEF31" w14:textId="77777777" w:rsidTr="00FA2663">
        <w:tblPrEx>
          <w:tblCellMar>
            <w:top w:w="57" w:type="dxa"/>
            <w:left w:w="57" w:type="dxa"/>
            <w:bottom w:w="57" w:type="dxa"/>
            <w:right w:w="57" w:type="dxa"/>
          </w:tblCellMar>
        </w:tblPrEx>
        <w:tc>
          <w:tcPr>
            <w:tcW w:w="8364" w:type="dxa"/>
            <w:hideMark/>
          </w:tcPr>
          <w:p w14:paraId="696FF5D5" w14:textId="77777777" w:rsidR="00EB2C2E" w:rsidRDefault="00EB2C2E" w:rsidP="00FA2663">
            <w:pPr>
              <w:pStyle w:val="NormalWeb"/>
            </w:pPr>
            <w:r>
              <w:t>Cardiac disease (n = 149)</w:t>
            </w:r>
          </w:p>
        </w:tc>
        <w:tc>
          <w:tcPr>
            <w:tcW w:w="2076" w:type="dxa"/>
            <w:hideMark/>
          </w:tcPr>
          <w:p w14:paraId="0736D249" w14:textId="77777777" w:rsidR="00EB2C2E" w:rsidRDefault="00EB2C2E" w:rsidP="00FA2663">
            <w:pPr>
              <w:pStyle w:val="NormalWeb"/>
              <w:jc w:val="center"/>
            </w:pPr>
            <w:r>
              <w:t>13 (9)</w:t>
            </w:r>
          </w:p>
        </w:tc>
      </w:tr>
      <w:tr w:rsidR="00EB2C2E" w14:paraId="5BF41CD3"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364" w:type="dxa"/>
            <w:hideMark/>
          </w:tcPr>
          <w:p w14:paraId="463E1F3D" w14:textId="77777777" w:rsidR="00EB2C2E" w:rsidRDefault="00EB2C2E" w:rsidP="00FA2663">
            <w:pPr>
              <w:pStyle w:val="NormalWeb"/>
            </w:pPr>
            <w:r>
              <w:t xml:space="preserve">Chronic respiratory condition (n = 148) </w:t>
            </w:r>
            <w:r w:rsidRPr="0035140C">
              <w:rPr>
                <w:vertAlign w:val="superscript"/>
              </w:rPr>
              <w:t>b</w:t>
            </w:r>
          </w:p>
        </w:tc>
        <w:tc>
          <w:tcPr>
            <w:tcW w:w="2076" w:type="dxa"/>
            <w:hideMark/>
          </w:tcPr>
          <w:p w14:paraId="58414B57" w14:textId="77777777" w:rsidR="00EB2C2E" w:rsidRDefault="00EB2C2E" w:rsidP="00FA2663">
            <w:pPr>
              <w:pStyle w:val="NormalWeb"/>
              <w:jc w:val="center"/>
            </w:pPr>
            <w:r>
              <w:t>12 (8)</w:t>
            </w:r>
          </w:p>
        </w:tc>
      </w:tr>
      <w:tr w:rsidR="00EB2C2E" w14:paraId="2175789F" w14:textId="77777777" w:rsidTr="00FA2663">
        <w:tblPrEx>
          <w:tblCellMar>
            <w:top w:w="57" w:type="dxa"/>
            <w:left w:w="57" w:type="dxa"/>
            <w:bottom w:w="57" w:type="dxa"/>
            <w:right w:w="57" w:type="dxa"/>
          </w:tblCellMar>
        </w:tblPrEx>
        <w:tc>
          <w:tcPr>
            <w:tcW w:w="8364" w:type="dxa"/>
            <w:hideMark/>
          </w:tcPr>
          <w:p w14:paraId="3F02AAC9" w14:textId="77777777" w:rsidR="00EB2C2E" w:rsidRDefault="00EB2C2E" w:rsidP="00FA2663">
            <w:pPr>
              <w:pStyle w:val="NormalWeb"/>
            </w:pPr>
            <w:r>
              <w:t>Diabetes (n = 150)</w:t>
            </w:r>
          </w:p>
        </w:tc>
        <w:tc>
          <w:tcPr>
            <w:tcW w:w="2076" w:type="dxa"/>
            <w:hideMark/>
          </w:tcPr>
          <w:p w14:paraId="645EBC94" w14:textId="77777777" w:rsidR="00EB2C2E" w:rsidRDefault="00EB2C2E" w:rsidP="00FA2663">
            <w:pPr>
              <w:pStyle w:val="NormalWeb"/>
              <w:jc w:val="center"/>
            </w:pPr>
            <w:r>
              <w:t>46 (31)</w:t>
            </w:r>
          </w:p>
        </w:tc>
      </w:tr>
      <w:tr w:rsidR="00EB2C2E" w14:paraId="30CCB9CC"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364" w:type="dxa"/>
            <w:hideMark/>
          </w:tcPr>
          <w:p w14:paraId="32A13318" w14:textId="77777777" w:rsidR="00EB2C2E" w:rsidRDefault="00EB2C2E" w:rsidP="00FA2663">
            <w:pPr>
              <w:pStyle w:val="NormalWeb"/>
            </w:pPr>
            <w:r>
              <w:t>Obesity (n = 139)</w:t>
            </w:r>
          </w:p>
        </w:tc>
        <w:tc>
          <w:tcPr>
            <w:tcW w:w="2076" w:type="dxa"/>
            <w:hideMark/>
          </w:tcPr>
          <w:p w14:paraId="6D31F68F" w14:textId="77777777" w:rsidR="00EB2C2E" w:rsidRDefault="00EB2C2E" w:rsidP="00FA2663">
            <w:pPr>
              <w:pStyle w:val="NormalWeb"/>
              <w:jc w:val="center"/>
            </w:pPr>
            <w:r>
              <w:t>36 (26)</w:t>
            </w:r>
          </w:p>
        </w:tc>
      </w:tr>
      <w:tr w:rsidR="00EB2C2E" w14:paraId="1654C278" w14:textId="77777777" w:rsidTr="00FA2663">
        <w:tblPrEx>
          <w:tblCellMar>
            <w:top w:w="57" w:type="dxa"/>
            <w:left w:w="57" w:type="dxa"/>
            <w:bottom w:w="57" w:type="dxa"/>
            <w:right w:w="57" w:type="dxa"/>
          </w:tblCellMar>
        </w:tblPrEx>
        <w:tc>
          <w:tcPr>
            <w:tcW w:w="8364" w:type="dxa"/>
            <w:hideMark/>
          </w:tcPr>
          <w:p w14:paraId="390085AD" w14:textId="77777777" w:rsidR="00EB2C2E" w:rsidRDefault="00EB2C2E" w:rsidP="00FA2663">
            <w:pPr>
              <w:pStyle w:val="NormalWeb"/>
            </w:pPr>
            <w:r>
              <w:t>Chronic renal disease (n = 146)</w:t>
            </w:r>
          </w:p>
        </w:tc>
        <w:tc>
          <w:tcPr>
            <w:tcW w:w="2076" w:type="dxa"/>
            <w:hideMark/>
          </w:tcPr>
          <w:p w14:paraId="64150B06" w14:textId="77777777" w:rsidR="00EB2C2E" w:rsidRDefault="00EB2C2E" w:rsidP="00FA2663">
            <w:pPr>
              <w:pStyle w:val="NormalWeb"/>
              <w:jc w:val="center"/>
            </w:pPr>
            <w:r>
              <w:t>5 (3)</w:t>
            </w:r>
          </w:p>
        </w:tc>
      </w:tr>
      <w:tr w:rsidR="00EB2C2E" w14:paraId="3FE64806"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364" w:type="dxa"/>
            <w:hideMark/>
          </w:tcPr>
          <w:p w14:paraId="4CB52E8A" w14:textId="77777777" w:rsidR="00EB2C2E" w:rsidRDefault="00EB2C2E" w:rsidP="00FA2663">
            <w:pPr>
              <w:pStyle w:val="NormalWeb"/>
            </w:pPr>
            <w:r>
              <w:t>Chronic neurological condition (n = 148)</w:t>
            </w:r>
          </w:p>
        </w:tc>
        <w:tc>
          <w:tcPr>
            <w:tcW w:w="2076" w:type="dxa"/>
            <w:hideMark/>
          </w:tcPr>
          <w:p w14:paraId="5DC73FC5" w14:textId="77777777" w:rsidR="00EB2C2E" w:rsidRDefault="00EB2C2E" w:rsidP="00FA2663">
            <w:pPr>
              <w:pStyle w:val="NormalWeb"/>
              <w:jc w:val="center"/>
            </w:pPr>
            <w:r>
              <w:t>1 (1)</w:t>
            </w:r>
          </w:p>
        </w:tc>
      </w:tr>
      <w:tr w:rsidR="00EB2C2E" w14:paraId="0CA146D8" w14:textId="77777777" w:rsidTr="00FA2663">
        <w:tblPrEx>
          <w:tblCellMar>
            <w:top w:w="57" w:type="dxa"/>
            <w:left w:w="57" w:type="dxa"/>
            <w:bottom w:w="57" w:type="dxa"/>
            <w:right w:w="57" w:type="dxa"/>
          </w:tblCellMar>
        </w:tblPrEx>
        <w:tc>
          <w:tcPr>
            <w:tcW w:w="8364" w:type="dxa"/>
            <w:hideMark/>
          </w:tcPr>
          <w:p w14:paraId="0065F7C2" w14:textId="77777777" w:rsidR="00EB2C2E" w:rsidRDefault="00EB2C2E" w:rsidP="00FA2663">
            <w:pPr>
              <w:pStyle w:val="NormalWeb"/>
            </w:pPr>
            <w:r>
              <w:t>Malignancy (n = 148)</w:t>
            </w:r>
          </w:p>
        </w:tc>
        <w:tc>
          <w:tcPr>
            <w:tcW w:w="2076" w:type="dxa"/>
            <w:hideMark/>
          </w:tcPr>
          <w:p w14:paraId="62DE7E54" w14:textId="77777777" w:rsidR="00EB2C2E" w:rsidRDefault="00EB2C2E" w:rsidP="00FA2663">
            <w:pPr>
              <w:pStyle w:val="NormalWeb"/>
              <w:jc w:val="center"/>
            </w:pPr>
            <w:r>
              <w:t>3 (2)</w:t>
            </w:r>
          </w:p>
        </w:tc>
      </w:tr>
      <w:tr w:rsidR="00EB2C2E" w14:paraId="232FBAFF"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364" w:type="dxa"/>
            <w:hideMark/>
          </w:tcPr>
          <w:p w14:paraId="222784AB" w14:textId="77777777" w:rsidR="00EB2C2E" w:rsidRDefault="00EB2C2E" w:rsidP="00FA2663">
            <w:pPr>
              <w:pStyle w:val="NormalWeb"/>
            </w:pPr>
            <w:r>
              <w:t>Chronic liver disease (n = 148)</w:t>
            </w:r>
          </w:p>
        </w:tc>
        <w:tc>
          <w:tcPr>
            <w:tcW w:w="2076" w:type="dxa"/>
            <w:hideMark/>
          </w:tcPr>
          <w:p w14:paraId="61195070" w14:textId="77777777" w:rsidR="00EB2C2E" w:rsidRDefault="00EB2C2E" w:rsidP="00FA2663">
            <w:pPr>
              <w:pStyle w:val="NormalWeb"/>
              <w:jc w:val="center"/>
            </w:pPr>
            <w:r>
              <w:t>4 (3)</w:t>
            </w:r>
          </w:p>
        </w:tc>
      </w:tr>
      <w:tr w:rsidR="00EB2C2E" w14:paraId="3789974D" w14:textId="77777777" w:rsidTr="00FA2663">
        <w:tblPrEx>
          <w:tblCellMar>
            <w:top w:w="57" w:type="dxa"/>
            <w:left w:w="57" w:type="dxa"/>
            <w:bottom w:w="57" w:type="dxa"/>
            <w:right w:w="57" w:type="dxa"/>
          </w:tblCellMar>
        </w:tblPrEx>
        <w:tc>
          <w:tcPr>
            <w:tcW w:w="8364" w:type="dxa"/>
            <w:hideMark/>
          </w:tcPr>
          <w:p w14:paraId="79258819" w14:textId="77777777" w:rsidR="00EB2C2E" w:rsidRDefault="00EB2C2E" w:rsidP="00FA2663">
            <w:pPr>
              <w:pStyle w:val="NormalWeb"/>
            </w:pPr>
            <w:r>
              <w:t>Immunosuppression (n = 148)</w:t>
            </w:r>
          </w:p>
        </w:tc>
        <w:tc>
          <w:tcPr>
            <w:tcW w:w="2076" w:type="dxa"/>
            <w:hideMark/>
          </w:tcPr>
          <w:p w14:paraId="2FE32184" w14:textId="77777777" w:rsidR="00EB2C2E" w:rsidRDefault="00EB2C2E" w:rsidP="00FA2663">
            <w:pPr>
              <w:pStyle w:val="NormalWeb"/>
              <w:jc w:val="center"/>
            </w:pPr>
            <w:r>
              <w:t>3 (2)</w:t>
            </w:r>
          </w:p>
        </w:tc>
      </w:tr>
      <w:tr w:rsidR="00EB2C2E" w:rsidRPr="00EC2561" w14:paraId="6811BC31" w14:textId="77777777" w:rsidTr="006D541A">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2"/>
            <w:shd w:val="clear" w:color="auto" w:fill="595959" w:themeFill="text1" w:themeFillTint="A6"/>
            <w:hideMark/>
          </w:tcPr>
          <w:p w14:paraId="347E305A" w14:textId="77777777" w:rsidR="00EB2C2E" w:rsidRPr="00EC2561" w:rsidRDefault="00EB2C2E" w:rsidP="00FA2663">
            <w:pPr>
              <w:pStyle w:val="NormalWeb"/>
              <w:rPr>
                <w:b/>
                <w:bCs/>
                <w:color w:val="FFFFFF" w:themeColor="background1"/>
              </w:rPr>
            </w:pPr>
            <w:r w:rsidRPr="00EC2561">
              <w:rPr>
                <w:b/>
                <w:bCs/>
                <w:color w:val="FFFFFF" w:themeColor="background1"/>
              </w:rPr>
              <w:t xml:space="preserve">Number of specified comorbidities (n = 154) </w:t>
            </w:r>
            <w:proofErr w:type="spellStart"/>
            <w:proofErr w:type="gramStart"/>
            <w:r w:rsidRPr="00EC2561">
              <w:rPr>
                <w:b/>
                <w:bCs/>
                <w:color w:val="FFFFFF" w:themeColor="background1"/>
                <w:vertAlign w:val="superscript"/>
              </w:rPr>
              <w:t>c,d</w:t>
            </w:r>
            <w:proofErr w:type="spellEnd"/>
            <w:proofErr w:type="gramEnd"/>
          </w:p>
        </w:tc>
      </w:tr>
      <w:tr w:rsidR="00EB2C2E" w14:paraId="0968E84C" w14:textId="77777777" w:rsidTr="00FA2663">
        <w:tblPrEx>
          <w:tblCellMar>
            <w:top w:w="57" w:type="dxa"/>
            <w:left w:w="57" w:type="dxa"/>
            <w:bottom w:w="57" w:type="dxa"/>
            <w:right w:w="57" w:type="dxa"/>
          </w:tblCellMar>
        </w:tblPrEx>
        <w:tc>
          <w:tcPr>
            <w:tcW w:w="8364" w:type="dxa"/>
            <w:hideMark/>
          </w:tcPr>
          <w:p w14:paraId="0B6D994B" w14:textId="77777777" w:rsidR="00EB2C2E" w:rsidRDefault="00EB2C2E" w:rsidP="00FA2663">
            <w:pPr>
              <w:pStyle w:val="NormalWeb"/>
            </w:pPr>
            <w:r>
              <w:t>One or more</w:t>
            </w:r>
          </w:p>
        </w:tc>
        <w:tc>
          <w:tcPr>
            <w:tcW w:w="2076" w:type="dxa"/>
            <w:hideMark/>
          </w:tcPr>
          <w:p w14:paraId="069E7E88" w14:textId="77777777" w:rsidR="00EB2C2E" w:rsidRDefault="00EB2C2E" w:rsidP="00FA2663">
            <w:pPr>
              <w:pStyle w:val="NormalWeb"/>
              <w:jc w:val="center"/>
            </w:pPr>
            <w:r>
              <w:t>85 (55)</w:t>
            </w:r>
          </w:p>
        </w:tc>
      </w:tr>
      <w:tr w:rsidR="00EB2C2E" w14:paraId="3EDC264F"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364" w:type="dxa"/>
            <w:hideMark/>
          </w:tcPr>
          <w:p w14:paraId="18A46AA0" w14:textId="77777777" w:rsidR="00EB2C2E" w:rsidRDefault="00EB2C2E" w:rsidP="00FA2663">
            <w:pPr>
              <w:pStyle w:val="NormalWeb"/>
            </w:pPr>
            <w:r>
              <w:t>Two or more</w:t>
            </w:r>
          </w:p>
        </w:tc>
        <w:tc>
          <w:tcPr>
            <w:tcW w:w="2076" w:type="dxa"/>
            <w:hideMark/>
          </w:tcPr>
          <w:p w14:paraId="769B4CBF" w14:textId="77777777" w:rsidR="00EB2C2E" w:rsidRDefault="00EB2C2E" w:rsidP="00FA2663">
            <w:pPr>
              <w:pStyle w:val="NormalWeb"/>
              <w:jc w:val="center"/>
            </w:pPr>
            <w:r>
              <w:t>26 (17)</w:t>
            </w:r>
          </w:p>
        </w:tc>
      </w:tr>
      <w:tr w:rsidR="00EB2C2E" w14:paraId="161ACDDB" w14:textId="77777777" w:rsidTr="00FA2663">
        <w:tblPrEx>
          <w:tblCellMar>
            <w:top w:w="57" w:type="dxa"/>
            <w:left w:w="57" w:type="dxa"/>
            <w:bottom w:w="57" w:type="dxa"/>
            <w:right w:w="57" w:type="dxa"/>
          </w:tblCellMar>
        </w:tblPrEx>
        <w:tc>
          <w:tcPr>
            <w:tcW w:w="8364" w:type="dxa"/>
            <w:hideMark/>
          </w:tcPr>
          <w:p w14:paraId="1EB68655" w14:textId="77777777" w:rsidR="00EB2C2E" w:rsidRDefault="00EB2C2E" w:rsidP="00FA2663">
            <w:pPr>
              <w:pStyle w:val="NormalWeb"/>
            </w:pPr>
            <w:r>
              <w:t>Three or more</w:t>
            </w:r>
          </w:p>
        </w:tc>
        <w:tc>
          <w:tcPr>
            <w:tcW w:w="2076" w:type="dxa"/>
            <w:hideMark/>
          </w:tcPr>
          <w:p w14:paraId="5B4C385A" w14:textId="77777777" w:rsidR="00EB2C2E" w:rsidRDefault="00EB2C2E" w:rsidP="00FA2663">
            <w:pPr>
              <w:pStyle w:val="NormalWeb"/>
              <w:jc w:val="center"/>
            </w:pPr>
            <w:r>
              <w:t>8 (5)</w:t>
            </w:r>
          </w:p>
        </w:tc>
      </w:tr>
      <w:tr w:rsidR="00EB2C2E" w14:paraId="4693A108"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8364" w:type="dxa"/>
            <w:hideMark/>
          </w:tcPr>
          <w:p w14:paraId="1D581963" w14:textId="77777777" w:rsidR="00EB2C2E" w:rsidRDefault="00EB2C2E" w:rsidP="00FA2663">
            <w:pPr>
              <w:pStyle w:val="NormalWeb"/>
            </w:pPr>
            <w:r>
              <w:t>No comorbidities</w:t>
            </w:r>
          </w:p>
        </w:tc>
        <w:tc>
          <w:tcPr>
            <w:tcW w:w="2076" w:type="dxa"/>
            <w:hideMark/>
          </w:tcPr>
          <w:p w14:paraId="57D2A1BC" w14:textId="77777777" w:rsidR="00EB2C2E" w:rsidRDefault="00EB2C2E" w:rsidP="00FA2663">
            <w:pPr>
              <w:pStyle w:val="NormalWeb"/>
              <w:jc w:val="center"/>
            </w:pPr>
            <w:r>
              <w:t>69 (45)</w:t>
            </w:r>
          </w:p>
        </w:tc>
      </w:tr>
    </w:tbl>
    <w:p w14:paraId="289593CA" w14:textId="77777777" w:rsidR="00EB2C2E" w:rsidRDefault="00EB2C2E" w:rsidP="00EB2C2E">
      <w:pPr>
        <w:pStyle w:val="CDIfootnotes"/>
        <w:rPr>
          <w:lang w:val="en-GB"/>
        </w:rPr>
      </w:pPr>
      <w:r>
        <w:rPr>
          <w:lang w:val="en-GB"/>
        </w:rPr>
        <w:t>a</w:t>
      </w:r>
      <w:r>
        <w:rPr>
          <w:lang w:val="en-GB"/>
        </w:rPr>
        <w:tab/>
        <w:t>Source: SPRINT-SARI. Only includes adult cases (≥ 18 years old) and excludes those with missing data on comorbidities or where comorbidity is unknown.</w:t>
      </w:r>
    </w:p>
    <w:p w14:paraId="0D5364BB" w14:textId="77777777" w:rsidR="00EB2C2E" w:rsidRDefault="00EB2C2E" w:rsidP="00EB2C2E">
      <w:pPr>
        <w:pStyle w:val="CDIfootnotes"/>
        <w:rPr>
          <w:lang w:val="en-GB"/>
        </w:rPr>
      </w:pPr>
      <w:r>
        <w:rPr>
          <w:lang w:val="en-GB"/>
        </w:rPr>
        <w:t>b</w:t>
      </w:r>
      <w:r>
        <w:rPr>
          <w:lang w:val="en-GB"/>
        </w:rPr>
        <w:tab/>
        <w:t>Includes asthma.</w:t>
      </w:r>
    </w:p>
    <w:p w14:paraId="534C2430" w14:textId="77777777" w:rsidR="00EB2C2E" w:rsidRDefault="00EB2C2E" w:rsidP="00EB2C2E">
      <w:pPr>
        <w:pStyle w:val="CDIfootnotes"/>
        <w:rPr>
          <w:lang w:val="en-GB"/>
        </w:rPr>
      </w:pPr>
      <w:r>
        <w:rPr>
          <w:lang w:val="en-GB"/>
        </w:rPr>
        <w:t xml:space="preserve">c </w:t>
      </w:r>
      <w:r>
        <w:rPr>
          <w:lang w:val="en-GB"/>
        </w:rPr>
        <w:tab/>
        <w:t xml:space="preserve">Includes chronic respiratory conditions, cardiac disease (excluding hypertension), immunosuppressive condition/therapy, diabetes, obesity, liver disease, renal </w:t>
      </w:r>
      <w:proofErr w:type="gramStart"/>
      <w:r>
        <w:rPr>
          <w:lang w:val="en-GB"/>
        </w:rPr>
        <w:t>disease</w:t>
      </w:r>
      <w:proofErr w:type="gramEnd"/>
      <w:r>
        <w:rPr>
          <w:lang w:val="en-GB"/>
        </w:rPr>
        <w:t xml:space="preserve"> and neurological disorder.</w:t>
      </w:r>
    </w:p>
    <w:p w14:paraId="55B05CB6" w14:textId="53704098" w:rsidR="00E77137" w:rsidRPr="00EB2C2E" w:rsidRDefault="00EB2C2E" w:rsidP="00EB2C2E">
      <w:pPr>
        <w:pStyle w:val="CDIfootnotes"/>
        <w:rPr>
          <w:lang w:val="en-GB"/>
        </w:rPr>
      </w:pPr>
      <w:r>
        <w:rPr>
          <w:lang w:val="en-GB"/>
        </w:rPr>
        <w:t>d</w:t>
      </w:r>
      <w:r>
        <w:rPr>
          <w:lang w:val="en-GB"/>
        </w:rPr>
        <w:tab/>
        <w:t>Excludes cases where comorbidity data is missing or unknown for all comorbidities.</w:t>
      </w:r>
    </w:p>
    <w:p w14:paraId="0347BBBD" w14:textId="77777777" w:rsidR="00E77137" w:rsidRPr="00E77137" w:rsidRDefault="00E77137" w:rsidP="00E77137">
      <w:pPr>
        <w:pStyle w:val="Heading3"/>
      </w:pPr>
      <w:r w:rsidRPr="00E77137">
        <w:t xml:space="preserve">COVID-19 deaths </w:t>
      </w:r>
    </w:p>
    <w:p w14:paraId="71F9E71F" w14:textId="77777777" w:rsidR="00E77137" w:rsidRDefault="00E77137" w:rsidP="00E77137">
      <w:r>
        <w:t xml:space="preserve">In the reporting fortnight, there were 11 deaths associated with COVID-19, all from New South Wales. The overall crude case fatality rate (CFR) since the start of the epidemic was 2.71% (Table 7). The ratio of deaths to cases in the year to date has decreased in comparison to this time last year, noting substantially </w:t>
      </w:r>
      <w:proofErr w:type="gramStart"/>
      <w:r>
        <w:t>lower case</w:t>
      </w:r>
      <w:proofErr w:type="gramEnd"/>
      <w:r>
        <w:t xml:space="preserve"> numbers this year and the difference in age distributions of those infected in 2021 versus 2020. </w:t>
      </w:r>
    </w:p>
    <w:p w14:paraId="53B7F1D9" w14:textId="77777777" w:rsidR="00DC3EF6" w:rsidRDefault="00DC3EF6">
      <w:pPr>
        <w:rPr>
          <w:rFonts w:asciiTheme="majorHAnsi" w:eastAsiaTheme="majorEastAsia" w:hAnsiTheme="majorHAnsi" w:cstheme="majorBidi"/>
          <w:b/>
          <w:bCs/>
          <w:sz w:val="32"/>
          <w:szCs w:val="28"/>
        </w:rPr>
      </w:pPr>
      <w:r>
        <w:br w:type="page"/>
      </w:r>
    </w:p>
    <w:p w14:paraId="52C5F9AF" w14:textId="77777777" w:rsidR="00DC3EF6" w:rsidRPr="000C6B64" w:rsidRDefault="00DC3EF6" w:rsidP="00DC3EF6">
      <w:pPr>
        <w:pStyle w:val="CDIFigures"/>
      </w:pPr>
      <w:r w:rsidRPr="000C6B64">
        <w:rPr>
          <w:rStyle w:val="Strong"/>
          <w:b/>
          <w:bCs w:val="0"/>
        </w:rPr>
        <w:lastRenderedPageBreak/>
        <w:t>Table 7: Deaths associated with COVID-19 by reporting period, Australia, 1 January 2020 – 1 August 2021</w:t>
      </w:r>
      <w:r w:rsidRPr="000C6B64">
        <w:rPr>
          <w:rStyle w:val="Strong"/>
          <w:b/>
          <w:bCs w:val="0"/>
          <w:vertAlign w:val="superscript"/>
        </w:rPr>
        <w:t>a</w:t>
      </w:r>
    </w:p>
    <w:tbl>
      <w:tblPr>
        <w:tblStyle w:val="CDI-StandardTable"/>
        <w:tblW w:w="0" w:type="auto"/>
        <w:tblLook w:val="04A0" w:firstRow="1" w:lastRow="0" w:firstColumn="1" w:lastColumn="0" w:noHBand="0" w:noVBand="1"/>
        <w:tblDescription w:val="A table comparing deaths due to COVID-19 in the current four-week reporting period ending 1 August 2021 and for the year to date with deaths during the same period in 2020 (ie., 1 January – 1 August 2020). Eleven COVID-19 deaths occurred in the most recent reporting period, out of 2,456 notified cases, corresponding to a case fatality rate of 0.45%. There have been sixteen COVID-19 deaths out of 5,680 notified cases during the calendar year to date, corresponding to a case fatality rate of 0.28% for the year to date. In contrast, there were 468 deaths due to COVID-19 during 1 January to 18 July 2020 (a case fatality rate of 2.75%), while the epidemic to date has seen a total of 925 deaths among 34,084 total cases (a case fatality rate of 2.71%)."/>
      </w:tblPr>
      <w:tblGrid>
        <w:gridCol w:w="6663"/>
        <w:gridCol w:w="2409"/>
        <w:gridCol w:w="1368"/>
      </w:tblGrid>
      <w:tr w:rsidR="00DC3EF6" w:rsidRPr="000C6B64" w14:paraId="18B93C20" w14:textId="77777777" w:rsidTr="00FA2663">
        <w:trPr>
          <w:cnfStyle w:val="100000000000" w:firstRow="1" w:lastRow="0" w:firstColumn="0" w:lastColumn="0" w:oddVBand="0" w:evenVBand="0" w:oddHBand="0" w:evenHBand="0" w:firstRowFirstColumn="0" w:firstRowLastColumn="0" w:lastRowFirstColumn="0" w:lastRowLastColumn="0"/>
        </w:trPr>
        <w:tc>
          <w:tcPr>
            <w:tcW w:w="6663" w:type="dxa"/>
            <w:tcBorders>
              <w:right w:val="single" w:sz="2" w:space="0" w:color="FFFFFF" w:themeColor="background1"/>
            </w:tcBorders>
            <w:hideMark/>
          </w:tcPr>
          <w:p w14:paraId="10087EFA" w14:textId="77777777" w:rsidR="00DC3EF6" w:rsidRPr="000C6B64" w:rsidRDefault="00DC3EF6" w:rsidP="00FA2663">
            <w:pPr>
              <w:pStyle w:val="NormalWeb"/>
              <w:rPr>
                <w:color w:val="FFFFFF" w:themeColor="background1"/>
              </w:rPr>
            </w:pPr>
            <w:r w:rsidRPr="000C6B64">
              <w:rPr>
                <w:color w:val="FFFFFF" w:themeColor="background1"/>
              </w:rPr>
              <w:t>Reporting period</w:t>
            </w:r>
          </w:p>
        </w:tc>
        <w:tc>
          <w:tcPr>
            <w:tcW w:w="2409" w:type="dxa"/>
            <w:tcBorders>
              <w:left w:val="single" w:sz="2" w:space="0" w:color="FFFFFF" w:themeColor="background1"/>
              <w:right w:val="single" w:sz="2" w:space="0" w:color="FFFFFF" w:themeColor="background1"/>
            </w:tcBorders>
            <w:hideMark/>
          </w:tcPr>
          <w:p w14:paraId="30FBEC7A" w14:textId="77777777" w:rsidR="00DC3EF6" w:rsidRPr="000C6B64" w:rsidRDefault="00DC3EF6" w:rsidP="00FA2663">
            <w:pPr>
              <w:pStyle w:val="NormalWeb"/>
              <w:jc w:val="center"/>
              <w:rPr>
                <w:color w:val="FFFFFF" w:themeColor="background1"/>
              </w:rPr>
            </w:pPr>
            <w:r w:rsidRPr="000C6B64">
              <w:rPr>
                <w:color w:val="FFFFFF" w:themeColor="background1"/>
              </w:rPr>
              <w:t xml:space="preserve">Number of </w:t>
            </w:r>
            <w:proofErr w:type="spellStart"/>
            <w:r w:rsidRPr="000C6B64">
              <w:rPr>
                <w:color w:val="FFFFFF" w:themeColor="background1"/>
              </w:rPr>
              <w:t>deaths</w:t>
            </w:r>
            <w:r w:rsidRPr="000C6B64">
              <w:rPr>
                <w:color w:val="FFFFFF" w:themeColor="background1"/>
                <w:vertAlign w:val="superscript"/>
              </w:rPr>
              <w:t>b</w:t>
            </w:r>
            <w:proofErr w:type="spellEnd"/>
          </w:p>
        </w:tc>
        <w:tc>
          <w:tcPr>
            <w:tcW w:w="1368" w:type="dxa"/>
            <w:tcBorders>
              <w:left w:val="single" w:sz="2" w:space="0" w:color="FFFFFF" w:themeColor="background1"/>
            </w:tcBorders>
            <w:hideMark/>
          </w:tcPr>
          <w:p w14:paraId="4BABCBE0" w14:textId="77777777" w:rsidR="00DC3EF6" w:rsidRPr="000C6B64" w:rsidRDefault="00DC3EF6" w:rsidP="00FA2663">
            <w:pPr>
              <w:pStyle w:val="NormalWeb"/>
              <w:jc w:val="center"/>
              <w:rPr>
                <w:color w:val="FFFFFF" w:themeColor="background1"/>
              </w:rPr>
            </w:pPr>
            <w:proofErr w:type="spellStart"/>
            <w:r w:rsidRPr="000C6B64">
              <w:rPr>
                <w:color w:val="FFFFFF" w:themeColor="background1"/>
              </w:rPr>
              <w:t>CFR</w:t>
            </w:r>
            <w:r w:rsidRPr="000C6B64">
              <w:rPr>
                <w:color w:val="FFFFFF" w:themeColor="background1"/>
                <w:vertAlign w:val="superscript"/>
              </w:rPr>
              <w:t>c</w:t>
            </w:r>
            <w:proofErr w:type="spellEnd"/>
          </w:p>
        </w:tc>
      </w:tr>
      <w:tr w:rsidR="00DC3EF6" w14:paraId="0A04F7DE" w14:textId="77777777" w:rsidTr="00FA2663">
        <w:tblPrEx>
          <w:tblCellMar>
            <w:top w:w="57" w:type="dxa"/>
            <w:left w:w="57" w:type="dxa"/>
            <w:bottom w:w="57" w:type="dxa"/>
            <w:right w:w="57" w:type="dxa"/>
          </w:tblCellMar>
        </w:tblPrEx>
        <w:tc>
          <w:tcPr>
            <w:tcW w:w="6663" w:type="dxa"/>
            <w:hideMark/>
          </w:tcPr>
          <w:p w14:paraId="154452BF" w14:textId="77777777" w:rsidR="00DC3EF6" w:rsidRDefault="00DC3EF6" w:rsidP="00FA2663">
            <w:pPr>
              <w:pStyle w:val="NormalWeb"/>
            </w:pPr>
            <w:r>
              <w:t>19 July – 1 August 2021</w:t>
            </w:r>
          </w:p>
        </w:tc>
        <w:tc>
          <w:tcPr>
            <w:tcW w:w="2409" w:type="dxa"/>
            <w:hideMark/>
          </w:tcPr>
          <w:p w14:paraId="792728EC" w14:textId="77777777" w:rsidR="00DC3EF6" w:rsidRDefault="00DC3EF6" w:rsidP="00FA2663">
            <w:pPr>
              <w:pStyle w:val="NormalWeb"/>
              <w:jc w:val="center"/>
            </w:pPr>
            <w:r>
              <w:t>11/2,456</w:t>
            </w:r>
          </w:p>
        </w:tc>
        <w:tc>
          <w:tcPr>
            <w:tcW w:w="1368" w:type="dxa"/>
            <w:hideMark/>
          </w:tcPr>
          <w:p w14:paraId="6E59E722" w14:textId="77777777" w:rsidR="00DC3EF6" w:rsidRDefault="00DC3EF6" w:rsidP="00FA2663">
            <w:pPr>
              <w:pStyle w:val="NormalWeb"/>
              <w:jc w:val="center"/>
            </w:pPr>
            <w:r>
              <w:t>0.45%</w:t>
            </w:r>
          </w:p>
        </w:tc>
      </w:tr>
      <w:tr w:rsidR="00DC3EF6" w14:paraId="54E92A02"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6663" w:type="dxa"/>
            <w:hideMark/>
          </w:tcPr>
          <w:p w14:paraId="7BA5C481" w14:textId="77777777" w:rsidR="00DC3EF6" w:rsidRDefault="00DC3EF6" w:rsidP="00FA2663">
            <w:pPr>
              <w:pStyle w:val="NormalWeb"/>
            </w:pPr>
            <w:r>
              <w:t>Year to date (2021) 1 January – 1 August 2021</w:t>
            </w:r>
          </w:p>
        </w:tc>
        <w:tc>
          <w:tcPr>
            <w:tcW w:w="2409" w:type="dxa"/>
            <w:hideMark/>
          </w:tcPr>
          <w:p w14:paraId="2170864C" w14:textId="77777777" w:rsidR="00DC3EF6" w:rsidRDefault="00DC3EF6" w:rsidP="00FA2663">
            <w:pPr>
              <w:pStyle w:val="NormalWeb"/>
              <w:jc w:val="center"/>
            </w:pPr>
            <w:r>
              <w:t>16/5,680</w:t>
            </w:r>
          </w:p>
        </w:tc>
        <w:tc>
          <w:tcPr>
            <w:tcW w:w="1368" w:type="dxa"/>
            <w:hideMark/>
          </w:tcPr>
          <w:p w14:paraId="74DCC7C8" w14:textId="77777777" w:rsidR="00DC3EF6" w:rsidRDefault="00DC3EF6" w:rsidP="00FA2663">
            <w:pPr>
              <w:pStyle w:val="NormalWeb"/>
              <w:jc w:val="center"/>
            </w:pPr>
            <w:r>
              <w:t>0.28%</w:t>
            </w:r>
          </w:p>
        </w:tc>
      </w:tr>
      <w:tr w:rsidR="00DC3EF6" w14:paraId="6E689B68" w14:textId="77777777" w:rsidTr="00FA2663">
        <w:tblPrEx>
          <w:tblCellMar>
            <w:top w:w="57" w:type="dxa"/>
            <w:left w:w="57" w:type="dxa"/>
            <w:bottom w:w="57" w:type="dxa"/>
            <w:right w:w="57" w:type="dxa"/>
          </w:tblCellMar>
        </w:tblPrEx>
        <w:tc>
          <w:tcPr>
            <w:tcW w:w="6663" w:type="dxa"/>
            <w:hideMark/>
          </w:tcPr>
          <w:p w14:paraId="0FFD6D5D" w14:textId="77777777" w:rsidR="00DC3EF6" w:rsidRDefault="00DC3EF6" w:rsidP="00FA2663">
            <w:pPr>
              <w:pStyle w:val="NormalWeb"/>
            </w:pPr>
            <w:r>
              <w:t>Year to date (2020) 1 January – 1 August 2020</w:t>
            </w:r>
          </w:p>
        </w:tc>
        <w:tc>
          <w:tcPr>
            <w:tcW w:w="2409" w:type="dxa"/>
            <w:hideMark/>
          </w:tcPr>
          <w:p w14:paraId="08594C13" w14:textId="77777777" w:rsidR="00DC3EF6" w:rsidRDefault="00DC3EF6" w:rsidP="00FA2663">
            <w:pPr>
              <w:pStyle w:val="NormalWeb"/>
              <w:jc w:val="center"/>
            </w:pPr>
            <w:r>
              <w:t>468/17,045</w:t>
            </w:r>
          </w:p>
        </w:tc>
        <w:tc>
          <w:tcPr>
            <w:tcW w:w="1368" w:type="dxa"/>
            <w:hideMark/>
          </w:tcPr>
          <w:p w14:paraId="64C82CB9" w14:textId="77777777" w:rsidR="00DC3EF6" w:rsidRDefault="00DC3EF6" w:rsidP="00FA2663">
            <w:pPr>
              <w:pStyle w:val="NormalWeb"/>
              <w:jc w:val="center"/>
            </w:pPr>
            <w:r>
              <w:t>2.75%</w:t>
            </w:r>
          </w:p>
        </w:tc>
      </w:tr>
      <w:tr w:rsidR="00DC3EF6" w14:paraId="10B02546" w14:textId="77777777" w:rsidTr="00FA266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6663" w:type="dxa"/>
            <w:hideMark/>
          </w:tcPr>
          <w:p w14:paraId="3E1EDBB1" w14:textId="77777777" w:rsidR="00DC3EF6" w:rsidRDefault="00DC3EF6" w:rsidP="00FA2663">
            <w:pPr>
              <w:pStyle w:val="NormalWeb"/>
            </w:pPr>
            <w:r>
              <w:t>Epidemic to date 1 January 2020 – 1 August 2021</w:t>
            </w:r>
          </w:p>
        </w:tc>
        <w:tc>
          <w:tcPr>
            <w:tcW w:w="2409" w:type="dxa"/>
            <w:hideMark/>
          </w:tcPr>
          <w:p w14:paraId="40DEF955" w14:textId="77777777" w:rsidR="00DC3EF6" w:rsidRDefault="00DC3EF6" w:rsidP="00FA2663">
            <w:pPr>
              <w:pStyle w:val="NormalWeb"/>
              <w:jc w:val="center"/>
            </w:pPr>
            <w:r>
              <w:t>925/34,084</w:t>
            </w:r>
          </w:p>
        </w:tc>
        <w:tc>
          <w:tcPr>
            <w:tcW w:w="1368" w:type="dxa"/>
            <w:hideMark/>
          </w:tcPr>
          <w:p w14:paraId="450FF829" w14:textId="77777777" w:rsidR="00DC3EF6" w:rsidRDefault="00DC3EF6" w:rsidP="00FA2663">
            <w:pPr>
              <w:pStyle w:val="NormalWeb"/>
              <w:jc w:val="center"/>
            </w:pPr>
            <w:r>
              <w:t>2.71%</w:t>
            </w:r>
          </w:p>
        </w:tc>
      </w:tr>
    </w:tbl>
    <w:p w14:paraId="5092A2E1" w14:textId="77777777" w:rsidR="00DC3EF6" w:rsidRDefault="00DC3EF6" w:rsidP="00DC3EF6">
      <w:pPr>
        <w:pStyle w:val="CDIfootnotes"/>
        <w:rPr>
          <w:lang w:val="en-GB"/>
        </w:rPr>
      </w:pPr>
      <w:r>
        <w:rPr>
          <w:lang w:val="en-GB"/>
        </w:rPr>
        <w:t>a</w:t>
      </w:r>
      <w:r>
        <w:rPr>
          <w:lang w:val="en-GB"/>
        </w:rPr>
        <w:tab/>
        <w:t>Source: NNDSS, extract from 3 August 2021, based on notification received date.</w:t>
      </w:r>
    </w:p>
    <w:p w14:paraId="247F7146" w14:textId="77777777" w:rsidR="00DC3EF6" w:rsidRDefault="00DC3EF6" w:rsidP="00DC3EF6">
      <w:pPr>
        <w:pStyle w:val="CDIfootnotes"/>
        <w:rPr>
          <w:lang w:val="en-GB"/>
        </w:rPr>
      </w:pPr>
      <w:r>
        <w:rPr>
          <w:lang w:val="en-GB"/>
        </w:rPr>
        <w:t>b</w:t>
      </w:r>
      <w:r>
        <w:rPr>
          <w:lang w:val="en-GB"/>
        </w:rPr>
        <w:tab/>
        <w:t>Expressed as deaths/case numbers.</w:t>
      </w:r>
    </w:p>
    <w:p w14:paraId="4829549C" w14:textId="77777777" w:rsidR="00DC3EF6" w:rsidRDefault="00DC3EF6" w:rsidP="00DC3EF6">
      <w:pPr>
        <w:pStyle w:val="CDIfootnotes"/>
        <w:rPr>
          <w:lang w:val="en-GB"/>
        </w:rPr>
      </w:pPr>
      <w:r>
        <w:rPr>
          <w:lang w:val="en-GB"/>
        </w:rPr>
        <w:t>c</w:t>
      </w:r>
      <w:r>
        <w:rPr>
          <w:lang w:val="en-GB"/>
        </w:rPr>
        <w:tab/>
        <w:t>CFR: Crude case fatality rate.</w:t>
      </w:r>
    </w:p>
    <w:p w14:paraId="1B248993" w14:textId="57B8483B" w:rsidR="00E77137" w:rsidRPr="00E77137" w:rsidRDefault="00E77137" w:rsidP="00E77137">
      <w:pPr>
        <w:pStyle w:val="Heading1"/>
      </w:pPr>
      <w:r w:rsidRPr="00E77137">
        <w:t xml:space="preserve">Acknowledgements </w:t>
      </w:r>
    </w:p>
    <w:p w14:paraId="63BE99CD" w14:textId="77777777" w:rsidR="00E77137" w:rsidRDefault="00E77137" w:rsidP="00E77137">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221F3FAA" w14:textId="77777777" w:rsidR="00E77137" w:rsidRPr="00E77137" w:rsidRDefault="00E77137" w:rsidP="00E77137">
      <w:pPr>
        <w:pStyle w:val="Heading1"/>
      </w:pPr>
      <w:r w:rsidRPr="00E77137">
        <w:t xml:space="preserve">Author details </w:t>
      </w:r>
    </w:p>
    <w:p w14:paraId="23DA2FB5" w14:textId="77777777" w:rsidR="00E77137" w:rsidRPr="007434B2" w:rsidRDefault="00E77137" w:rsidP="007434B2">
      <w:pPr>
        <w:pStyle w:val="Heading2"/>
      </w:pPr>
      <w:r w:rsidRPr="007434B2">
        <w:t xml:space="preserve">Corresponding author </w:t>
      </w:r>
    </w:p>
    <w:p w14:paraId="0464E928" w14:textId="77777777" w:rsidR="00E77137" w:rsidRDefault="00E77137" w:rsidP="00CE6A51">
      <w:r>
        <w:t xml:space="preserve">COVID-19 National Incident Room Surveillance Team </w:t>
      </w:r>
    </w:p>
    <w:p w14:paraId="2E515210" w14:textId="77777777" w:rsidR="00E77137" w:rsidRDefault="00E77137" w:rsidP="00CE6A51">
      <w:r>
        <w:t xml:space="preserve">Australian Government Department of Health, GPO Box 9484, MDP 14, Canberra, ACT 2601. </w:t>
      </w:r>
    </w:p>
    <w:p w14:paraId="00C601F0" w14:textId="77777777" w:rsidR="00E77137" w:rsidRDefault="00E77137" w:rsidP="00CE6A51">
      <w:r>
        <w:t>Email: epi.coronavirus@health.gov.au</w:t>
      </w:r>
    </w:p>
    <w:p w14:paraId="47450AA9" w14:textId="77777777" w:rsidR="00E77137" w:rsidRPr="00E77137" w:rsidRDefault="00E77137" w:rsidP="00E77137">
      <w:pPr>
        <w:pStyle w:val="Heading1"/>
      </w:pPr>
      <w:r w:rsidRPr="00E77137">
        <w:t xml:space="preserve">References </w:t>
      </w:r>
    </w:p>
    <w:p w14:paraId="3EB6D142" w14:textId="77777777" w:rsidR="00E77137" w:rsidRPr="00E77137" w:rsidRDefault="00E77137" w:rsidP="00E77137">
      <w:pPr>
        <w:pStyle w:val="ListParagraph"/>
        <w:numPr>
          <w:ilvl w:val="0"/>
          <w:numId w:val="9"/>
        </w:numPr>
        <w:rPr>
          <w:rFonts w:eastAsia="Times New Roman"/>
        </w:rPr>
      </w:pPr>
      <w:r w:rsidRPr="00E77137">
        <w:rPr>
          <w:rFonts w:eastAsia="Times New Roman"/>
        </w:rPr>
        <w:t xml:space="preserve">COVID-19 National Incident Room Surveillance Team. COVID-19 Australia: Epidemiology Report 46: Reporting period ending 18 July 2021. </w:t>
      </w:r>
      <w:proofErr w:type="spellStart"/>
      <w:r w:rsidRPr="00330BF2">
        <w:rPr>
          <w:rStyle w:val="Emphasis"/>
          <w:rFonts w:eastAsia="Times New Roman"/>
          <w:b w:val="0"/>
          <w:bCs w:val="0"/>
        </w:rPr>
        <w:t>Commun</w:t>
      </w:r>
      <w:proofErr w:type="spellEnd"/>
      <w:r w:rsidRPr="00330BF2">
        <w:rPr>
          <w:rStyle w:val="Emphasis"/>
          <w:rFonts w:eastAsia="Times New Roman"/>
          <w:b w:val="0"/>
          <w:bCs w:val="0"/>
        </w:rPr>
        <w:t xml:space="preserve"> Dis </w:t>
      </w:r>
      <w:proofErr w:type="spellStart"/>
      <w:r w:rsidRPr="00330BF2">
        <w:rPr>
          <w:rStyle w:val="Emphasis"/>
          <w:rFonts w:eastAsia="Times New Roman"/>
          <w:b w:val="0"/>
          <w:bCs w:val="0"/>
        </w:rPr>
        <w:t>Intell</w:t>
      </w:r>
      <w:proofErr w:type="spellEnd"/>
      <w:r w:rsidRPr="00330BF2">
        <w:rPr>
          <w:rStyle w:val="Emphasis"/>
          <w:rFonts w:eastAsia="Times New Roman"/>
          <w:b w:val="0"/>
          <w:bCs w:val="0"/>
        </w:rPr>
        <w:t xml:space="preserve"> (2018)</w:t>
      </w:r>
      <w:r w:rsidRPr="00E77137">
        <w:rPr>
          <w:rFonts w:eastAsia="Times New Roman"/>
        </w:rPr>
        <w:t xml:space="preserve">. 2021;45. </w:t>
      </w:r>
      <w:proofErr w:type="spellStart"/>
      <w:r w:rsidRPr="00E77137">
        <w:rPr>
          <w:rFonts w:eastAsia="Times New Roman"/>
        </w:rPr>
        <w:t>doi</w:t>
      </w:r>
      <w:proofErr w:type="spellEnd"/>
      <w:r w:rsidRPr="00E77137">
        <w:rPr>
          <w:rFonts w:eastAsia="Times New Roman"/>
        </w:rPr>
        <w:t xml:space="preserve">: https://doi.org/10.33321/cdi.2021.45.39. </w:t>
      </w:r>
    </w:p>
    <w:p w14:paraId="0686AA72" w14:textId="77777777" w:rsidR="00E77137" w:rsidRPr="00E77137" w:rsidRDefault="00E77137" w:rsidP="00E77137">
      <w:pPr>
        <w:pStyle w:val="ListParagraph"/>
        <w:numPr>
          <w:ilvl w:val="0"/>
          <w:numId w:val="9"/>
        </w:numPr>
        <w:rPr>
          <w:rFonts w:eastAsia="Times New Roman"/>
        </w:rPr>
      </w:pPr>
      <w:r w:rsidRPr="00E77137">
        <w:rPr>
          <w:rFonts w:eastAsia="Times New Roman"/>
        </w:rPr>
        <w:t xml:space="preserve">COVID-19 National Incident Room Surveillance Team. Technical supplement. COVID-19 Australia: Epidemiology reporting. </w:t>
      </w:r>
      <w:proofErr w:type="spellStart"/>
      <w:r w:rsidRPr="00330BF2">
        <w:rPr>
          <w:rStyle w:val="Emphasis"/>
          <w:rFonts w:eastAsia="Times New Roman"/>
          <w:b w:val="0"/>
          <w:bCs w:val="0"/>
        </w:rPr>
        <w:t>Commun</w:t>
      </w:r>
      <w:proofErr w:type="spellEnd"/>
      <w:r w:rsidRPr="00330BF2">
        <w:rPr>
          <w:rStyle w:val="Emphasis"/>
          <w:rFonts w:eastAsia="Times New Roman"/>
          <w:b w:val="0"/>
          <w:bCs w:val="0"/>
        </w:rPr>
        <w:t xml:space="preserve"> Dis </w:t>
      </w:r>
      <w:proofErr w:type="spellStart"/>
      <w:r w:rsidRPr="00330BF2">
        <w:rPr>
          <w:rStyle w:val="Emphasis"/>
          <w:rFonts w:eastAsia="Times New Roman"/>
          <w:b w:val="0"/>
          <w:bCs w:val="0"/>
        </w:rPr>
        <w:t>Intell</w:t>
      </w:r>
      <w:proofErr w:type="spellEnd"/>
      <w:r w:rsidRPr="00330BF2">
        <w:rPr>
          <w:rStyle w:val="Emphasis"/>
          <w:rFonts w:eastAsia="Times New Roman"/>
          <w:b w:val="0"/>
          <w:bCs w:val="0"/>
        </w:rPr>
        <w:t xml:space="preserve"> (2018)</w:t>
      </w:r>
      <w:r w:rsidRPr="00E77137">
        <w:rPr>
          <w:rFonts w:eastAsia="Times New Roman"/>
        </w:rPr>
        <w:t xml:space="preserve">. 2021;45. </w:t>
      </w:r>
      <w:proofErr w:type="spellStart"/>
      <w:r w:rsidRPr="00E77137">
        <w:rPr>
          <w:rFonts w:eastAsia="Times New Roman"/>
        </w:rPr>
        <w:t>doi</w:t>
      </w:r>
      <w:proofErr w:type="spellEnd"/>
      <w:r w:rsidRPr="00E77137">
        <w:rPr>
          <w:rFonts w:eastAsia="Times New Roman"/>
        </w:rPr>
        <w:t xml:space="preserve">: https://doi.org/10.33321/cdi.2021.45.2. </w:t>
      </w:r>
    </w:p>
    <w:p w14:paraId="7745863E" w14:textId="77777777" w:rsidR="00E77137" w:rsidRPr="00E77137" w:rsidRDefault="00E77137" w:rsidP="00E77137">
      <w:pPr>
        <w:pStyle w:val="ListParagraph"/>
        <w:numPr>
          <w:ilvl w:val="0"/>
          <w:numId w:val="9"/>
        </w:numPr>
        <w:rPr>
          <w:rFonts w:eastAsia="Times New Roman"/>
        </w:rPr>
      </w:pPr>
      <w:r w:rsidRPr="00E77137">
        <w:rPr>
          <w:rFonts w:eastAsia="Times New Roman"/>
        </w:rPr>
        <w:t xml:space="preserve">Australian Government Department of Health. Getting vaccinated for COVID-19: Australia’s vaccine rollout. [Internet.] Canberra: Australian Government Department of Health; 2021. [Accessed on 2 August 2021.] Available from: https://www.health.gov.au/initiatives-and-programs/covid-19-vaccines/getting-vaccinated-for-covid-19#australias-vaccine-rollout. </w:t>
      </w:r>
    </w:p>
    <w:p w14:paraId="413BE685" w14:textId="77777777" w:rsidR="00E77137" w:rsidRPr="00E77137" w:rsidRDefault="00E77137" w:rsidP="00E77137">
      <w:pPr>
        <w:pStyle w:val="ListParagraph"/>
        <w:numPr>
          <w:ilvl w:val="0"/>
          <w:numId w:val="9"/>
        </w:numPr>
        <w:rPr>
          <w:rFonts w:eastAsia="Times New Roman"/>
        </w:rPr>
      </w:pPr>
      <w:r w:rsidRPr="00E77137">
        <w:rPr>
          <w:rFonts w:eastAsia="Times New Roman"/>
        </w:rPr>
        <w:t>Australian and New Zealand Intensive Care Society (ANZICS). SPRINT-SARI: Short period incidence study of severe acute respiratory infection. [Internet.] Camberwell: ANZICS; 2020. Available from: https://www.anzics.com.au/current-active-endorsed-research/sprint-sari/.</w:t>
      </w:r>
    </w:p>
    <w:p w14:paraId="693C528D" w14:textId="77777777" w:rsidR="00CE6A51" w:rsidRDefault="00CE6A51" w:rsidP="00E77137">
      <w:pPr>
        <w:pStyle w:val="Heading1"/>
        <w:sectPr w:rsidR="00CE6A51" w:rsidSect="000E1F4B">
          <w:headerReference w:type="default" r:id="rId12"/>
          <w:footerReference w:type="default" r:id="rId13"/>
          <w:footerReference w:type="first" r:id="rId14"/>
          <w:footnotePr>
            <w:numFmt w:val="lowerRoman"/>
          </w:footnotePr>
          <w:type w:val="continuous"/>
          <w:pgSz w:w="11906" w:h="16838"/>
          <w:pgMar w:top="720" w:right="720" w:bottom="1134" w:left="720" w:header="709" w:footer="284" w:gutter="0"/>
          <w:cols w:space="708"/>
          <w:titlePg/>
          <w:docGrid w:linePitch="360"/>
        </w:sectPr>
      </w:pPr>
    </w:p>
    <w:p w14:paraId="320748AB" w14:textId="370F83B4" w:rsidR="00E77137" w:rsidRPr="00E77137" w:rsidRDefault="00E77137" w:rsidP="00E77137">
      <w:pPr>
        <w:pStyle w:val="Heading1"/>
      </w:pPr>
      <w:r w:rsidRPr="00E77137">
        <w:lastRenderedPageBreak/>
        <w:t>Appendix A: Supplementary figures and tables</w:t>
      </w:r>
    </w:p>
    <w:p w14:paraId="6177BA1F" w14:textId="77777777" w:rsidR="00DC3EF6" w:rsidRPr="000C6B64" w:rsidRDefault="00DC3EF6" w:rsidP="00DC3EF6">
      <w:pPr>
        <w:pStyle w:val="CDIFigures"/>
      </w:pPr>
      <w:r w:rsidRPr="000C6B64">
        <w:rPr>
          <w:rStyle w:val="Strong"/>
          <w:b/>
          <w:bCs w:val="0"/>
        </w:rPr>
        <w:t>Table A.1: COVID-19 cases and rates per 100,000 population, by age group, sex and diagnosis date Australia, 1 August 2021</w:t>
      </w:r>
      <w:proofErr w:type="gramStart"/>
      <w:r w:rsidRPr="000C6B64">
        <w:rPr>
          <w:rStyle w:val="Strong"/>
          <w:b/>
          <w:bCs w:val="0"/>
          <w:vertAlign w:val="superscript"/>
        </w:rPr>
        <w:t>a,b</w:t>
      </w:r>
      <w:proofErr w:type="gramEnd"/>
    </w:p>
    <w:tbl>
      <w:tblPr>
        <w:tblStyle w:val="CDI-StandardTable"/>
        <w:tblW w:w="14940" w:type="dxa"/>
        <w:tblLayout w:type="fixed"/>
        <w:tblLook w:val="04A0" w:firstRow="1" w:lastRow="0" w:firstColumn="1" w:lastColumn="0" w:noHBand="0" w:noVBand="1"/>
        <w:tblDescription w:val="This table summarises cumulative and four-weekly confirmed cases and rates per 100,000 population, as a function of age group and sex."/>
      </w:tblPr>
      <w:tblGrid>
        <w:gridCol w:w="1273"/>
        <w:gridCol w:w="1040"/>
        <w:gridCol w:w="1040"/>
        <w:gridCol w:w="1040"/>
        <w:gridCol w:w="1040"/>
        <w:gridCol w:w="1040"/>
        <w:gridCol w:w="1040"/>
        <w:gridCol w:w="1237"/>
        <w:gridCol w:w="1238"/>
        <w:gridCol w:w="1238"/>
        <w:gridCol w:w="1238"/>
        <w:gridCol w:w="1238"/>
        <w:gridCol w:w="1238"/>
      </w:tblGrid>
      <w:tr w:rsidR="00DC3EF6" w:rsidRPr="000C6B64" w14:paraId="3140B3C4" w14:textId="77777777" w:rsidTr="00A87795">
        <w:trPr>
          <w:cnfStyle w:val="100000000000" w:firstRow="1" w:lastRow="0" w:firstColumn="0" w:lastColumn="0" w:oddVBand="0" w:evenVBand="0" w:oddHBand="0" w:evenHBand="0" w:firstRowFirstColumn="0" w:firstRowLastColumn="0" w:lastRowFirstColumn="0" w:lastRowLastColumn="0"/>
          <w:tblHeader/>
        </w:trPr>
        <w:tc>
          <w:tcPr>
            <w:tcW w:w="1273" w:type="dxa"/>
            <w:vMerge w:val="restart"/>
            <w:tcBorders>
              <w:bottom w:val="single" w:sz="2" w:space="0" w:color="FFFFFF" w:themeColor="background1"/>
              <w:right w:val="single" w:sz="2" w:space="0" w:color="FFFFFF" w:themeColor="background1"/>
            </w:tcBorders>
            <w:vAlign w:val="center"/>
            <w:hideMark/>
          </w:tcPr>
          <w:p w14:paraId="492C17FE" w14:textId="77777777" w:rsidR="00DC3EF6" w:rsidRPr="000C6B64" w:rsidRDefault="00DC3EF6" w:rsidP="001766AA">
            <w:pPr>
              <w:pStyle w:val="NormalWeb"/>
              <w:rPr>
                <w:color w:val="FFFFFF" w:themeColor="background1"/>
              </w:rPr>
            </w:pPr>
            <w:r w:rsidRPr="000C6B64">
              <w:rPr>
                <w:color w:val="FFFFFF" w:themeColor="background1"/>
              </w:rPr>
              <w:t>Age group</w:t>
            </w:r>
          </w:p>
        </w:tc>
        <w:tc>
          <w:tcPr>
            <w:tcW w:w="6240" w:type="dxa"/>
            <w:gridSpan w:val="6"/>
            <w:tcBorders>
              <w:left w:val="single" w:sz="2" w:space="0" w:color="FFFFFF" w:themeColor="background1"/>
              <w:bottom w:val="single" w:sz="2" w:space="0" w:color="FFFFFF" w:themeColor="background1"/>
              <w:right w:val="single" w:sz="2" w:space="0" w:color="FFFFFF" w:themeColor="background1"/>
            </w:tcBorders>
            <w:vAlign w:val="center"/>
            <w:hideMark/>
          </w:tcPr>
          <w:p w14:paraId="3BA15838" w14:textId="77777777" w:rsidR="00DC3EF6" w:rsidRPr="000C6B64" w:rsidRDefault="00DC3EF6" w:rsidP="001766AA">
            <w:pPr>
              <w:pStyle w:val="NormalWeb"/>
              <w:jc w:val="center"/>
              <w:rPr>
                <w:color w:val="FFFFFF" w:themeColor="background1"/>
              </w:rPr>
            </w:pPr>
            <w:r w:rsidRPr="000C6B64">
              <w:rPr>
                <w:color w:val="FFFFFF" w:themeColor="background1"/>
              </w:rPr>
              <w:t>This reporting period</w:t>
            </w:r>
          </w:p>
        </w:tc>
        <w:tc>
          <w:tcPr>
            <w:tcW w:w="7427" w:type="dxa"/>
            <w:gridSpan w:val="6"/>
            <w:tcBorders>
              <w:left w:val="single" w:sz="2" w:space="0" w:color="FFFFFF" w:themeColor="background1"/>
              <w:bottom w:val="single" w:sz="2" w:space="0" w:color="FFFFFF" w:themeColor="background1"/>
            </w:tcBorders>
            <w:vAlign w:val="center"/>
            <w:hideMark/>
          </w:tcPr>
          <w:p w14:paraId="37C23A3B" w14:textId="77777777" w:rsidR="00DC3EF6" w:rsidRPr="000C6B64" w:rsidRDefault="00DC3EF6" w:rsidP="001766AA">
            <w:pPr>
              <w:pStyle w:val="NormalWeb"/>
              <w:jc w:val="center"/>
              <w:rPr>
                <w:color w:val="FFFFFF" w:themeColor="background1"/>
              </w:rPr>
            </w:pPr>
            <w:r w:rsidRPr="000C6B64">
              <w:rPr>
                <w:color w:val="FFFFFF" w:themeColor="background1"/>
              </w:rPr>
              <w:t xml:space="preserve">This </w:t>
            </w:r>
            <w:proofErr w:type="spellStart"/>
            <w:r w:rsidRPr="000C6B64">
              <w:rPr>
                <w:color w:val="FFFFFF" w:themeColor="background1"/>
              </w:rPr>
              <w:t>year</w:t>
            </w:r>
            <w:r w:rsidRPr="00940E61">
              <w:rPr>
                <w:color w:val="FFFFFF" w:themeColor="background1"/>
                <w:vertAlign w:val="superscript"/>
              </w:rPr>
              <w:t>c</w:t>
            </w:r>
            <w:proofErr w:type="spellEnd"/>
          </w:p>
        </w:tc>
      </w:tr>
      <w:tr w:rsidR="00DC3EF6" w:rsidRPr="000C6B64" w14:paraId="2476BF77" w14:textId="77777777" w:rsidTr="00A87795">
        <w:trPr>
          <w:cnfStyle w:val="100000000000" w:firstRow="1" w:lastRow="0" w:firstColumn="0" w:lastColumn="0" w:oddVBand="0" w:evenVBand="0" w:oddHBand="0" w:evenHBand="0" w:firstRowFirstColumn="0" w:firstRowLastColumn="0" w:lastRowFirstColumn="0" w:lastRowLastColumn="0"/>
          <w:tblHeader/>
        </w:trPr>
        <w:tc>
          <w:tcPr>
            <w:tcW w:w="1273"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1A3D20E0" w14:textId="77777777" w:rsidR="00DC3EF6" w:rsidRPr="000C6B64" w:rsidRDefault="00DC3EF6" w:rsidP="001766AA">
            <w:pPr>
              <w:jc w:val="center"/>
              <w:rPr>
                <w:color w:val="FFFFFF" w:themeColor="background1"/>
                <w:sz w:val="24"/>
                <w:szCs w:val="24"/>
              </w:rPr>
            </w:pPr>
          </w:p>
        </w:tc>
        <w:tc>
          <w:tcPr>
            <w:tcW w:w="6240"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622ED78" w14:textId="77777777" w:rsidR="00DC3EF6" w:rsidRPr="000C6B64" w:rsidRDefault="00DC3EF6" w:rsidP="001766AA">
            <w:pPr>
              <w:pStyle w:val="NormalWeb"/>
              <w:jc w:val="center"/>
              <w:rPr>
                <w:color w:val="FFFFFF" w:themeColor="background1"/>
              </w:rPr>
            </w:pPr>
            <w:r w:rsidRPr="000C6B64">
              <w:rPr>
                <w:color w:val="FFFFFF" w:themeColor="background1"/>
              </w:rPr>
              <w:t>19 July – 1 August 2021</w:t>
            </w:r>
          </w:p>
        </w:tc>
        <w:tc>
          <w:tcPr>
            <w:tcW w:w="7427" w:type="dxa"/>
            <w:gridSpan w:val="6"/>
            <w:tcBorders>
              <w:top w:val="single" w:sz="2" w:space="0" w:color="FFFFFF" w:themeColor="background1"/>
              <w:left w:val="single" w:sz="2" w:space="0" w:color="FFFFFF" w:themeColor="background1"/>
              <w:bottom w:val="single" w:sz="2" w:space="0" w:color="FFFFFF" w:themeColor="background1"/>
            </w:tcBorders>
            <w:vAlign w:val="center"/>
            <w:hideMark/>
          </w:tcPr>
          <w:p w14:paraId="74FCE1FE" w14:textId="77777777" w:rsidR="00DC3EF6" w:rsidRPr="000C6B64" w:rsidRDefault="00DC3EF6" w:rsidP="001766AA">
            <w:pPr>
              <w:pStyle w:val="NormalWeb"/>
              <w:jc w:val="center"/>
              <w:rPr>
                <w:color w:val="FFFFFF" w:themeColor="background1"/>
              </w:rPr>
            </w:pPr>
            <w:r w:rsidRPr="000C6B64">
              <w:rPr>
                <w:color w:val="FFFFFF" w:themeColor="background1"/>
              </w:rPr>
              <w:t>1 January 2021 – 1 August 2021</w:t>
            </w:r>
          </w:p>
        </w:tc>
      </w:tr>
      <w:tr w:rsidR="00CE6A51" w:rsidRPr="000C6B64" w14:paraId="59327CAE" w14:textId="77777777" w:rsidTr="00A87795">
        <w:trPr>
          <w:cnfStyle w:val="100000000000" w:firstRow="1" w:lastRow="0" w:firstColumn="0" w:lastColumn="0" w:oddVBand="0" w:evenVBand="0" w:oddHBand="0" w:evenHBand="0" w:firstRowFirstColumn="0" w:firstRowLastColumn="0" w:lastRowFirstColumn="0" w:lastRowLastColumn="0"/>
          <w:tblHeader/>
        </w:trPr>
        <w:tc>
          <w:tcPr>
            <w:tcW w:w="1273" w:type="dxa"/>
            <w:vMerge/>
            <w:tcBorders>
              <w:top w:val="single" w:sz="2" w:space="0" w:color="FFFFFF" w:themeColor="background1"/>
              <w:bottom w:val="single" w:sz="2" w:space="0" w:color="FFFFFF" w:themeColor="background1"/>
              <w:right w:val="single" w:sz="2" w:space="0" w:color="FFFFFF" w:themeColor="background1"/>
            </w:tcBorders>
            <w:vAlign w:val="center"/>
            <w:hideMark/>
          </w:tcPr>
          <w:p w14:paraId="7A9C0B2C" w14:textId="77777777" w:rsidR="00DC3EF6" w:rsidRPr="000C6B64" w:rsidRDefault="00DC3EF6" w:rsidP="001766AA">
            <w:pPr>
              <w:jc w:val="center"/>
              <w:rPr>
                <w:color w:val="FFFFFF" w:themeColor="background1"/>
                <w:sz w:val="24"/>
                <w:szCs w:val="24"/>
              </w:rPr>
            </w:pPr>
          </w:p>
        </w:tc>
        <w:tc>
          <w:tcPr>
            <w:tcW w:w="312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4F659A1C" w14:textId="77777777" w:rsidR="00DC3EF6" w:rsidRPr="000C6B64" w:rsidRDefault="00DC3EF6" w:rsidP="001766AA">
            <w:pPr>
              <w:pStyle w:val="NormalWeb"/>
              <w:jc w:val="center"/>
              <w:rPr>
                <w:color w:val="FFFFFF" w:themeColor="background1"/>
              </w:rPr>
            </w:pPr>
            <w:r w:rsidRPr="000C6B64">
              <w:rPr>
                <w:color w:val="FFFFFF" w:themeColor="background1"/>
              </w:rPr>
              <w:t>Cases</w:t>
            </w:r>
          </w:p>
        </w:tc>
        <w:tc>
          <w:tcPr>
            <w:tcW w:w="312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07D5F938" w14:textId="77777777" w:rsidR="00DC3EF6" w:rsidRPr="000C6B64" w:rsidRDefault="00DC3EF6" w:rsidP="001766AA">
            <w:pPr>
              <w:pStyle w:val="NormalWeb"/>
              <w:jc w:val="center"/>
              <w:rPr>
                <w:color w:val="FFFFFF" w:themeColor="background1"/>
              </w:rPr>
            </w:pPr>
            <w:r w:rsidRPr="000C6B64">
              <w:rPr>
                <w:color w:val="FFFFFF" w:themeColor="background1"/>
              </w:rPr>
              <w:t>Rate per 100,000 population</w:t>
            </w:r>
          </w:p>
        </w:tc>
        <w:tc>
          <w:tcPr>
            <w:tcW w:w="371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center"/>
            <w:hideMark/>
          </w:tcPr>
          <w:p w14:paraId="36C6930A" w14:textId="77777777" w:rsidR="00DC3EF6" w:rsidRPr="000C6B64" w:rsidRDefault="00DC3EF6" w:rsidP="001766AA">
            <w:pPr>
              <w:pStyle w:val="NormalWeb"/>
              <w:jc w:val="center"/>
              <w:rPr>
                <w:color w:val="FFFFFF" w:themeColor="background1"/>
              </w:rPr>
            </w:pPr>
            <w:r w:rsidRPr="000C6B64">
              <w:rPr>
                <w:color w:val="FFFFFF" w:themeColor="background1"/>
              </w:rPr>
              <w:t>Cases</w:t>
            </w:r>
          </w:p>
        </w:tc>
        <w:tc>
          <w:tcPr>
            <w:tcW w:w="3714" w:type="dxa"/>
            <w:gridSpan w:val="3"/>
            <w:tcBorders>
              <w:top w:val="single" w:sz="2" w:space="0" w:color="FFFFFF" w:themeColor="background1"/>
              <w:left w:val="single" w:sz="2" w:space="0" w:color="FFFFFF" w:themeColor="background1"/>
              <w:bottom w:val="single" w:sz="2" w:space="0" w:color="FFFFFF" w:themeColor="background1"/>
            </w:tcBorders>
            <w:vAlign w:val="center"/>
            <w:hideMark/>
          </w:tcPr>
          <w:p w14:paraId="7B03BB39" w14:textId="77777777" w:rsidR="00DC3EF6" w:rsidRPr="000C6B64" w:rsidRDefault="00DC3EF6" w:rsidP="001766AA">
            <w:pPr>
              <w:pStyle w:val="NormalWeb"/>
              <w:jc w:val="center"/>
              <w:rPr>
                <w:color w:val="FFFFFF" w:themeColor="background1"/>
              </w:rPr>
            </w:pPr>
            <w:r w:rsidRPr="000C6B64">
              <w:rPr>
                <w:color w:val="FFFFFF" w:themeColor="background1"/>
              </w:rPr>
              <w:t>Rate per 100,000 population</w:t>
            </w:r>
          </w:p>
        </w:tc>
      </w:tr>
      <w:tr w:rsidR="00CE6A51" w:rsidRPr="000C6B64" w14:paraId="27820AFA" w14:textId="77777777" w:rsidTr="00A87795">
        <w:trPr>
          <w:cnfStyle w:val="100000000000" w:firstRow="1" w:lastRow="0" w:firstColumn="0" w:lastColumn="0" w:oddVBand="0" w:evenVBand="0" w:oddHBand="0" w:evenHBand="0" w:firstRowFirstColumn="0" w:firstRowLastColumn="0" w:lastRowFirstColumn="0" w:lastRowLastColumn="0"/>
          <w:tblHeader/>
        </w:trPr>
        <w:tc>
          <w:tcPr>
            <w:tcW w:w="1273" w:type="dxa"/>
            <w:vMerge/>
            <w:tcBorders>
              <w:top w:val="single" w:sz="2" w:space="0" w:color="FFFFFF" w:themeColor="background1"/>
              <w:right w:val="single" w:sz="2" w:space="0" w:color="FFFFFF" w:themeColor="background1"/>
            </w:tcBorders>
            <w:vAlign w:val="center"/>
            <w:hideMark/>
          </w:tcPr>
          <w:p w14:paraId="00E60C89" w14:textId="77777777" w:rsidR="00DC3EF6" w:rsidRPr="000C6B64" w:rsidRDefault="00DC3EF6" w:rsidP="001766AA">
            <w:pPr>
              <w:jc w:val="center"/>
              <w:rPr>
                <w:color w:val="FFFFFF" w:themeColor="background1"/>
                <w:sz w:val="24"/>
                <w:szCs w:val="24"/>
              </w:rPr>
            </w:pP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147B97C6" w14:textId="77777777" w:rsidR="00DC3EF6" w:rsidRPr="000C6B64" w:rsidRDefault="00DC3EF6" w:rsidP="001766AA">
            <w:pPr>
              <w:pStyle w:val="NormalWeb"/>
              <w:jc w:val="center"/>
              <w:rPr>
                <w:color w:val="FFFFFF" w:themeColor="background1"/>
              </w:rPr>
            </w:pPr>
            <w:r w:rsidRPr="000C6B64">
              <w:rPr>
                <w:color w:val="FFFFFF" w:themeColor="background1"/>
              </w:rPr>
              <w:t>Male</w:t>
            </w: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647A3CA7" w14:textId="77777777" w:rsidR="00DC3EF6" w:rsidRPr="000C6B64" w:rsidRDefault="00DC3EF6" w:rsidP="001766AA">
            <w:pPr>
              <w:pStyle w:val="NormalWeb"/>
              <w:jc w:val="center"/>
              <w:rPr>
                <w:color w:val="FFFFFF" w:themeColor="background1"/>
              </w:rPr>
            </w:pPr>
            <w:r w:rsidRPr="000C6B64">
              <w:rPr>
                <w:color w:val="FFFFFF" w:themeColor="background1"/>
              </w:rPr>
              <w:t>Female</w:t>
            </w: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4075C113" w14:textId="77777777" w:rsidR="00DC3EF6" w:rsidRPr="000C6B64" w:rsidRDefault="00DC3EF6" w:rsidP="001766AA">
            <w:pPr>
              <w:pStyle w:val="NormalWeb"/>
              <w:jc w:val="center"/>
              <w:rPr>
                <w:color w:val="FFFFFF" w:themeColor="background1"/>
              </w:rPr>
            </w:pPr>
            <w:r w:rsidRPr="000C6B64">
              <w:rPr>
                <w:color w:val="FFFFFF" w:themeColor="background1"/>
              </w:rPr>
              <w:t>People</w:t>
            </w: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007CD55D" w14:textId="77777777" w:rsidR="00DC3EF6" w:rsidRPr="000C6B64" w:rsidRDefault="00DC3EF6" w:rsidP="001766AA">
            <w:pPr>
              <w:pStyle w:val="NormalWeb"/>
              <w:jc w:val="center"/>
              <w:rPr>
                <w:color w:val="FFFFFF" w:themeColor="background1"/>
              </w:rPr>
            </w:pPr>
            <w:r w:rsidRPr="000C6B64">
              <w:rPr>
                <w:color w:val="FFFFFF" w:themeColor="background1"/>
              </w:rPr>
              <w:t>Male</w:t>
            </w: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501213FF" w14:textId="77777777" w:rsidR="00DC3EF6" w:rsidRPr="000C6B64" w:rsidRDefault="00DC3EF6" w:rsidP="001766AA">
            <w:pPr>
              <w:pStyle w:val="NormalWeb"/>
              <w:jc w:val="center"/>
              <w:rPr>
                <w:color w:val="FFFFFF" w:themeColor="background1"/>
              </w:rPr>
            </w:pPr>
            <w:r w:rsidRPr="000C6B64">
              <w:rPr>
                <w:color w:val="FFFFFF" w:themeColor="background1"/>
              </w:rPr>
              <w:t>Female</w:t>
            </w:r>
          </w:p>
        </w:tc>
        <w:tc>
          <w:tcPr>
            <w:tcW w:w="1040" w:type="dxa"/>
            <w:tcBorders>
              <w:top w:val="single" w:sz="2" w:space="0" w:color="FFFFFF" w:themeColor="background1"/>
              <w:left w:val="single" w:sz="2" w:space="0" w:color="FFFFFF" w:themeColor="background1"/>
              <w:right w:val="single" w:sz="2" w:space="0" w:color="FFFFFF" w:themeColor="background1"/>
            </w:tcBorders>
            <w:vAlign w:val="center"/>
            <w:hideMark/>
          </w:tcPr>
          <w:p w14:paraId="6095F4DA" w14:textId="77777777" w:rsidR="00DC3EF6" w:rsidRPr="000C6B64" w:rsidRDefault="00DC3EF6" w:rsidP="001766AA">
            <w:pPr>
              <w:pStyle w:val="NormalWeb"/>
              <w:jc w:val="center"/>
              <w:rPr>
                <w:color w:val="FFFFFF" w:themeColor="background1"/>
              </w:rPr>
            </w:pPr>
            <w:r w:rsidRPr="000C6B64">
              <w:rPr>
                <w:color w:val="FFFFFF" w:themeColor="background1"/>
              </w:rPr>
              <w:t>People</w:t>
            </w:r>
          </w:p>
        </w:tc>
        <w:tc>
          <w:tcPr>
            <w:tcW w:w="1237" w:type="dxa"/>
            <w:tcBorders>
              <w:top w:val="single" w:sz="2" w:space="0" w:color="FFFFFF" w:themeColor="background1"/>
              <w:left w:val="single" w:sz="2" w:space="0" w:color="FFFFFF" w:themeColor="background1"/>
              <w:right w:val="single" w:sz="2" w:space="0" w:color="FFFFFF" w:themeColor="background1"/>
            </w:tcBorders>
            <w:vAlign w:val="center"/>
            <w:hideMark/>
          </w:tcPr>
          <w:p w14:paraId="73DF44FB" w14:textId="77777777" w:rsidR="00DC3EF6" w:rsidRPr="000C6B64" w:rsidRDefault="00DC3EF6" w:rsidP="001766AA">
            <w:pPr>
              <w:pStyle w:val="NormalWeb"/>
              <w:jc w:val="center"/>
              <w:rPr>
                <w:color w:val="FFFFFF" w:themeColor="background1"/>
              </w:rPr>
            </w:pPr>
            <w:r w:rsidRPr="000C6B64">
              <w:rPr>
                <w:color w:val="FFFFFF" w:themeColor="background1"/>
              </w:rPr>
              <w:t>Male</w:t>
            </w:r>
          </w:p>
        </w:tc>
        <w:tc>
          <w:tcPr>
            <w:tcW w:w="1238" w:type="dxa"/>
            <w:tcBorders>
              <w:top w:val="single" w:sz="2" w:space="0" w:color="FFFFFF" w:themeColor="background1"/>
              <w:left w:val="single" w:sz="2" w:space="0" w:color="FFFFFF" w:themeColor="background1"/>
              <w:right w:val="single" w:sz="2" w:space="0" w:color="FFFFFF" w:themeColor="background1"/>
            </w:tcBorders>
            <w:vAlign w:val="center"/>
            <w:hideMark/>
          </w:tcPr>
          <w:p w14:paraId="57663FB4" w14:textId="77777777" w:rsidR="00DC3EF6" w:rsidRPr="000C6B64" w:rsidRDefault="00DC3EF6" w:rsidP="001766AA">
            <w:pPr>
              <w:pStyle w:val="NormalWeb"/>
              <w:jc w:val="center"/>
              <w:rPr>
                <w:color w:val="FFFFFF" w:themeColor="background1"/>
              </w:rPr>
            </w:pPr>
            <w:r w:rsidRPr="000C6B64">
              <w:rPr>
                <w:color w:val="FFFFFF" w:themeColor="background1"/>
              </w:rPr>
              <w:t>Female</w:t>
            </w:r>
          </w:p>
        </w:tc>
        <w:tc>
          <w:tcPr>
            <w:tcW w:w="1238" w:type="dxa"/>
            <w:tcBorders>
              <w:top w:val="single" w:sz="2" w:space="0" w:color="FFFFFF" w:themeColor="background1"/>
              <w:left w:val="single" w:sz="2" w:space="0" w:color="FFFFFF" w:themeColor="background1"/>
              <w:right w:val="single" w:sz="2" w:space="0" w:color="FFFFFF" w:themeColor="background1"/>
            </w:tcBorders>
            <w:vAlign w:val="center"/>
            <w:hideMark/>
          </w:tcPr>
          <w:p w14:paraId="08A6B33C" w14:textId="77777777" w:rsidR="00DC3EF6" w:rsidRPr="000C6B64" w:rsidRDefault="00DC3EF6" w:rsidP="001766AA">
            <w:pPr>
              <w:pStyle w:val="NormalWeb"/>
              <w:jc w:val="center"/>
              <w:rPr>
                <w:color w:val="FFFFFF" w:themeColor="background1"/>
              </w:rPr>
            </w:pPr>
            <w:r w:rsidRPr="000C6B64">
              <w:rPr>
                <w:color w:val="FFFFFF" w:themeColor="background1"/>
              </w:rPr>
              <w:t>People</w:t>
            </w:r>
          </w:p>
        </w:tc>
        <w:tc>
          <w:tcPr>
            <w:tcW w:w="1238" w:type="dxa"/>
            <w:tcBorders>
              <w:top w:val="single" w:sz="2" w:space="0" w:color="FFFFFF" w:themeColor="background1"/>
              <w:left w:val="single" w:sz="2" w:space="0" w:color="FFFFFF" w:themeColor="background1"/>
              <w:right w:val="single" w:sz="2" w:space="0" w:color="FFFFFF" w:themeColor="background1"/>
            </w:tcBorders>
            <w:vAlign w:val="center"/>
            <w:hideMark/>
          </w:tcPr>
          <w:p w14:paraId="7E36CC46" w14:textId="77777777" w:rsidR="00DC3EF6" w:rsidRPr="000C6B64" w:rsidRDefault="00DC3EF6" w:rsidP="001766AA">
            <w:pPr>
              <w:pStyle w:val="NormalWeb"/>
              <w:jc w:val="center"/>
              <w:rPr>
                <w:color w:val="FFFFFF" w:themeColor="background1"/>
              </w:rPr>
            </w:pPr>
            <w:r w:rsidRPr="000C6B64">
              <w:rPr>
                <w:color w:val="FFFFFF" w:themeColor="background1"/>
              </w:rPr>
              <w:t>Male</w:t>
            </w:r>
          </w:p>
        </w:tc>
        <w:tc>
          <w:tcPr>
            <w:tcW w:w="1238" w:type="dxa"/>
            <w:tcBorders>
              <w:top w:val="single" w:sz="2" w:space="0" w:color="FFFFFF" w:themeColor="background1"/>
              <w:left w:val="single" w:sz="2" w:space="0" w:color="FFFFFF" w:themeColor="background1"/>
              <w:right w:val="single" w:sz="2" w:space="0" w:color="FFFFFF" w:themeColor="background1"/>
            </w:tcBorders>
            <w:vAlign w:val="center"/>
            <w:hideMark/>
          </w:tcPr>
          <w:p w14:paraId="1747A493" w14:textId="77777777" w:rsidR="00DC3EF6" w:rsidRPr="000C6B64" w:rsidRDefault="00DC3EF6" w:rsidP="001766AA">
            <w:pPr>
              <w:pStyle w:val="NormalWeb"/>
              <w:jc w:val="center"/>
              <w:rPr>
                <w:color w:val="FFFFFF" w:themeColor="background1"/>
              </w:rPr>
            </w:pPr>
            <w:r w:rsidRPr="000C6B64">
              <w:rPr>
                <w:color w:val="FFFFFF" w:themeColor="background1"/>
              </w:rPr>
              <w:t>Female</w:t>
            </w:r>
          </w:p>
        </w:tc>
        <w:tc>
          <w:tcPr>
            <w:tcW w:w="1238" w:type="dxa"/>
            <w:tcBorders>
              <w:top w:val="single" w:sz="2" w:space="0" w:color="FFFFFF" w:themeColor="background1"/>
              <w:left w:val="single" w:sz="2" w:space="0" w:color="FFFFFF" w:themeColor="background1"/>
            </w:tcBorders>
            <w:vAlign w:val="center"/>
            <w:hideMark/>
          </w:tcPr>
          <w:p w14:paraId="32815AB8" w14:textId="77777777" w:rsidR="00DC3EF6" w:rsidRPr="000C6B64" w:rsidRDefault="00DC3EF6" w:rsidP="001766AA">
            <w:pPr>
              <w:pStyle w:val="NormalWeb"/>
              <w:jc w:val="center"/>
              <w:rPr>
                <w:color w:val="FFFFFF" w:themeColor="background1"/>
              </w:rPr>
            </w:pPr>
            <w:r w:rsidRPr="000C6B64">
              <w:rPr>
                <w:color w:val="FFFFFF" w:themeColor="background1"/>
              </w:rPr>
              <w:t>People</w:t>
            </w:r>
          </w:p>
        </w:tc>
      </w:tr>
      <w:tr w:rsidR="00CE6A51" w14:paraId="23F91CAA" w14:textId="77777777" w:rsidTr="00A87795">
        <w:tblPrEx>
          <w:tblCellMar>
            <w:top w:w="57" w:type="dxa"/>
            <w:left w:w="57" w:type="dxa"/>
            <w:bottom w:w="57" w:type="dxa"/>
            <w:right w:w="57" w:type="dxa"/>
          </w:tblCellMar>
        </w:tblPrEx>
        <w:tc>
          <w:tcPr>
            <w:tcW w:w="1273" w:type="dxa"/>
            <w:hideMark/>
          </w:tcPr>
          <w:p w14:paraId="42EBF342" w14:textId="77777777" w:rsidR="00DC3EF6" w:rsidRDefault="00DC3EF6" w:rsidP="00FA2663">
            <w:pPr>
              <w:pStyle w:val="NormalWeb"/>
            </w:pPr>
            <w:r>
              <w:t>0 to 9</w:t>
            </w:r>
          </w:p>
        </w:tc>
        <w:tc>
          <w:tcPr>
            <w:tcW w:w="1040" w:type="dxa"/>
            <w:hideMark/>
          </w:tcPr>
          <w:p w14:paraId="70E00E07" w14:textId="77777777" w:rsidR="00DC3EF6" w:rsidRDefault="00DC3EF6" w:rsidP="00FA2663">
            <w:pPr>
              <w:pStyle w:val="NormalWeb"/>
              <w:jc w:val="center"/>
            </w:pPr>
            <w:r>
              <w:t>126</w:t>
            </w:r>
          </w:p>
        </w:tc>
        <w:tc>
          <w:tcPr>
            <w:tcW w:w="1040" w:type="dxa"/>
            <w:hideMark/>
          </w:tcPr>
          <w:p w14:paraId="5E8727B0" w14:textId="77777777" w:rsidR="00DC3EF6" w:rsidRDefault="00DC3EF6" w:rsidP="00FA2663">
            <w:pPr>
              <w:pStyle w:val="NormalWeb"/>
              <w:jc w:val="center"/>
            </w:pPr>
            <w:r>
              <w:t>130</w:t>
            </w:r>
          </w:p>
        </w:tc>
        <w:tc>
          <w:tcPr>
            <w:tcW w:w="1040" w:type="dxa"/>
            <w:hideMark/>
          </w:tcPr>
          <w:p w14:paraId="020A829A" w14:textId="77777777" w:rsidR="00DC3EF6" w:rsidRDefault="00DC3EF6" w:rsidP="00FA2663">
            <w:pPr>
              <w:pStyle w:val="NormalWeb"/>
              <w:jc w:val="center"/>
            </w:pPr>
            <w:r>
              <w:t>256</w:t>
            </w:r>
          </w:p>
        </w:tc>
        <w:tc>
          <w:tcPr>
            <w:tcW w:w="1040" w:type="dxa"/>
            <w:hideMark/>
          </w:tcPr>
          <w:p w14:paraId="6841047E" w14:textId="77777777" w:rsidR="00DC3EF6" w:rsidRDefault="00DC3EF6" w:rsidP="00FA2663">
            <w:pPr>
              <w:pStyle w:val="NormalWeb"/>
              <w:jc w:val="center"/>
            </w:pPr>
            <w:r>
              <w:t>7.7</w:t>
            </w:r>
          </w:p>
        </w:tc>
        <w:tc>
          <w:tcPr>
            <w:tcW w:w="1040" w:type="dxa"/>
            <w:hideMark/>
          </w:tcPr>
          <w:p w14:paraId="2156389C" w14:textId="77777777" w:rsidR="00DC3EF6" w:rsidRDefault="00DC3EF6" w:rsidP="00FA2663">
            <w:pPr>
              <w:pStyle w:val="NormalWeb"/>
              <w:jc w:val="center"/>
            </w:pPr>
            <w:r>
              <w:t>8.4</w:t>
            </w:r>
          </w:p>
        </w:tc>
        <w:tc>
          <w:tcPr>
            <w:tcW w:w="1040" w:type="dxa"/>
            <w:hideMark/>
          </w:tcPr>
          <w:p w14:paraId="03C67332" w14:textId="77777777" w:rsidR="00DC3EF6" w:rsidRDefault="00DC3EF6" w:rsidP="00FA2663">
            <w:pPr>
              <w:pStyle w:val="NormalWeb"/>
              <w:jc w:val="center"/>
            </w:pPr>
            <w:r>
              <w:t>8</w:t>
            </w:r>
          </w:p>
        </w:tc>
        <w:tc>
          <w:tcPr>
            <w:tcW w:w="1237" w:type="dxa"/>
            <w:hideMark/>
          </w:tcPr>
          <w:p w14:paraId="6F3DF351" w14:textId="77777777" w:rsidR="00DC3EF6" w:rsidRDefault="00DC3EF6" w:rsidP="00FA2663">
            <w:pPr>
              <w:pStyle w:val="NormalWeb"/>
              <w:jc w:val="center"/>
            </w:pPr>
            <w:r>
              <w:t>308</w:t>
            </w:r>
          </w:p>
        </w:tc>
        <w:tc>
          <w:tcPr>
            <w:tcW w:w="1238" w:type="dxa"/>
            <w:hideMark/>
          </w:tcPr>
          <w:p w14:paraId="36AC666F" w14:textId="77777777" w:rsidR="00DC3EF6" w:rsidRDefault="00DC3EF6" w:rsidP="00FA2663">
            <w:pPr>
              <w:pStyle w:val="NormalWeb"/>
              <w:jc w:val="center"/>
            </w:pPr>
            <w:r>
              <w:t>279</w:t>
            </w:r>
          </w:p>
        </w:tc>
        <w:tc>
          <w:tcPr>
            <w:tcW w:w="1238" w:type="dxa"/>
            <w:hideMark/>
          </w:tcPr>
          <w:p w14:paraId="0EE27B7B" w14:textId="77777777" w:rsidR="00DC3EF6" w:rsidRDefault="00DC3EF6" w:rsidP="00FA2663">
            <w:pPr>
              <w:pStyle w:val="NormalWeb"/>
              <w:jc w:val="center"/>
            </w:pPr>
            <w:r>
              <w:t>587</w:t>
            </w:r>
          </w:p>
        </w:tc>
        <w:tc>
          <w:tcPr>
            <w:tcW w:w="1238" w:type="dxa"/>
            <w:hideMark/>
          </w:tcPr>
          <w:p w14:paraId="21A7D848" w14:textId="77777777" w:rsidR="00DC3EF6" w:rsidRDefault="00DC3EF6" w:rsidP="00FA2663">
            <w:pPr>
              <w:pStyle w:val="NormalWeb"/>
              <w:jc w:val="center"/>
            </w:pPr>
            <w:r>
              <w:t>18.8</w:t>
            </w:r>
          </w:p>
        </w:tc>
        <w:tc>
          <w:tcPr>
            <w:tcW w:w="1238" w:type="dxa"/>
            <w:hideMark/>
          </w:tcPr>
          <w:p w14:paraId="3F20F748" w14:textId="77777777" w:rsidR="00DC3EF6" w:rsidRDefault="00DC3EF6" w:rsidP="00FA2663">
            <w:pPr>
              <w:pStyle w:val="NormalWeb"/>
              <w:jc w:val="center"/>
            </w:pPr>
            <w:r>
              <w:t>18</w:t>
            </w:r>
          </w:p>
        </w:tc>
        <w:tc>
          <w:tcPr>
            <w:tcW w:w="1238" w:type="dxa"/>
            <w:hideMark/>
          </w:tcPr>
          <w:p w14:paraId="6EBB56AD" w14:textId="77777777" w:rsidR="00DC3EF6" w:rsidRDefault="00DC3EF6" w:rsidP="00FA2663">
            <w:pPr>
              <w:pStyle w:val="NormalWeb"/>
              <w:jc w:val="center"/>
            </w:pPr>
            <w:r>
              <w:t>18.4</w:t>
            </w:r>
          </w:p>
        </w:tc>
      </w:tr>
      <w:tr w:rsidR="00CE6A51" w14:paraId="47CFD995" w14:textId="77777777" w:rsidTr="00A8779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3" w:type="dxa"/>
            <w:hideMark/>
          </w:tcPr>
          <w:p w14:paraId="26CD7C4D" w14:textId="77777777" w:rsidR="00DC3EF6" w:rsidRDefault="00DC3EF6" w:rsidP="00FA2663">
            <w:pPr>
              <w:pStyle w:val="NormalWeb"/>
            </w:pPr>
            <w:r>
              <w:t>10 to 19</w:t>
            </w:r>
          </w:p>
        </w:tc>
        <w:tc>
          <w:tcPr>
            <w:tcW w:w="1040" w:type="dxa"/>
            <w:hideMark/>
          </w:tcPr>
          <w:p w14:paraId="342667F2" w14:textId="77777777" w:rsidR="00DC3EF6" w:rsidRDefault="00DC3EF6" w:rsidP="00FA2663">
            <w:pPr>
              <w:pStyle w:val="NormalWeb"/>
              <w:jc w:val="center"/>
            </w:pPr>
            <w:r>
              <w:t>170</w:t>
            </w:r>
          </w:p>
        </w:tc>
        <w:tc>
          <w:tcPr>
            <w:tcW w:w="1040" w:type="dxa"/>
            <w:hideMark/>
          </w:tcPr>
          <w:p w14:paraId="406E7DD0" w14:textId="77777777" w:rsidR="00DC3EF6" w:rsidRDefault="00DC3EF6" w:rsidP="00FA2663">
            <w:pPr>
              <w:pStyle w:val="NormalWeb"/>
              <w:jc w:val="center"/>
            </w:pPr>
            <w:r>
              <w:t>176</w:t>
            </w:r>
          </w:p>
        </w:tc>
        <w:tc>
          <w:tcPr>
            <w:tcW w:w="1040" w:type="dxa"/>
            <w:hideMark/>
          </w:tcPr>
          <w:p w14:paraId="69DD78AA" w14:textId="77777777" w:rsidR="00DC3EF6" w:rsidRDefault="00DC3EF6" w:rsidP="00FA2663">
            <w:pPr>
              <w:pStyle w:val="NormalWeb"/>
              <w:jc w:val="center"/>
            </w:pPr>
            <w:r>
              <w:t>346</w:t>
            </w:r>
          </w:p>
        </w:tc>
        <w:tc>
          <w:tcPr>
            <w:tcW w:w="1040" w:type="dxa"/>
            <w:hideMark/>
          </w:tcPr>
          <w:p w14:paraId="706B055F" w14:textId="77777777" w:rsidR="00DC3EF6" w:rsidRDefault="00DC3EF6" w:rsidP="00FA2663">
            <w:pPr>
              <w:pStyle w:val="NormalWeb"/>
              <w:jc w:val="center"/>
            </w:pPr>
            <w:r>
              <w:t>10.7</w:t>
            </w:r>
          </w:p>
        </w:tc>
        <w:tc>
          <w:tcPr>
            <w:tcW w:w="1040" w:type="dxa"/>
            <w:hideMark/>
          </w:tcPr>
          <w:p w14:paraId="54B9F1C4" w14:textId="77777777" w:rsidR="00DC3EF6" w:rsidRDefault="00DC3EF6" w:rsidP="00FA2663">
            <w:pPr>
              <w:pStyle w:val="NormalWeb"/>
              <w:jc w:val="center"/>
            </w:pPr>
            <w:r>
              <w:t>11.7</w:t>
            </w:r>
          </w:p>
        </w:tc>
        <w:tc>
          <w:tcPr>
            <w:tcW w:w="1040" w:type="dxa"/>
            <w:hideMark/>
          </w:tcPr>
          <w:p w14:paraId="7C7CC78A" w14:textId="77777777" w:rsidR="00DC3EF6" w:rsidRDefault="00DC3EF6" w:rsidP="00FA2663">
            <w:pPr>
              <w:pStyle w:val="NormalWeb"/>
              <w:jc w:val="center"/>
            </w:pPr>
            <w:r>
              <w:t>11.2</w:t>
            </w:r>
          </w:p>
        </w:tc>
        <w:tc>
          <w:tcPr>
            <w:tcW w:w="1237" w:type="dxa"/>
            <w:hideMark/>
          </w:tcPr>
          <w:p w14:paraId="59FFE315" w14:textId="77777777" w:rsidR="00DC3EF6" w:rsidRDefault="00DC3EF6" w:rsidP="00FA2663">
            <w:pPr>
              <w:pStyle w:val="NormalWeb"/>
              <w:jc w:val="center"/>
            </w:pPr>
            <w:r>
              <w:t>367</w:t>
            </w:r>
          </w:p>
        </w:tc>
        <w:tc>
          <w:tcPr>
            <w:tcW w:w="1238" w:type="dxa"/>
            <w:hideMark/>
          </w:tcPr>
          <w:p w14:paraId="48B77079" w14:textId="77777777" w:rsidR="00DC3EF6" w:rsidRDefault="00DC3EF6" w:rsidP="00FA2663">
            <w:pPr>
              <w:pStyle w:val="NormalWeb"/>
              <w:jc w:val="center"/>
            </w:pPr>
            <w:r>
              <w:t>344</w:t>
            </w:r>
          </w:p>
        </w:tc>
        <w:tc>
          <w:tcPr>
            <w:tcW w:w="1238" w:type="dxa"/>
            <w:hideMark/>
          </w:tcPr>
          <w:p w14:paraId="4062B59D" w14:textId="77777777" w:rsidR="00DC3EF6" w:rsidRDefault="00DC3EF6" w:rsidP="00FA2663">
            <w:pPr>
              <w:pStyle w:val="NormalWeb"/>
              <w:jc w:val="center"/>
            </w:pPr>
            <w:r>
              <w:t>711</w:t>
            </w:r>
          </w:p>
        </w:tc>
        <w:tc>
          <w:tcPr>
            <w:tcW w:w="1238" w:type="dxa"/>
            <w:hideMark/>
          </w:tcPr>
          <w:p w14:paraId="25DE11D7" w14:textId="77777777" w:rsidR="00DC3EF6" w:rsidRDefault="00DC3EF6" w:rsidP="00FA2663">
            <w:pPr>
              <w:pStyle w:val="NormalWeb"/>
              <w:jc w:val="center"/>
            </w:pPr>
            <w:r>
              <w:t>23.1</w:t>
            </w:r>
          </w:p>
        </w:tc>
        <w:tc>
          <w:tcPr>
            <w:tcW w:w="1238" w:type="dxa"/>
            <w:hideMark/>
          </w:tcPr>
          <w:p w14:paraId="535F3BB9" w14:textId="77777777" w:rsidR="00DC3EF6" w:rsidRDefault="00DC3EF6" w:rsidP="00FA2663">
            <w:pPr>
              <w:pStyle w:val="NormalWeb"/>
              <w:jc w:val="center"/>
            </w:pPr>
            <w:r>
              <w:t>22.9</w:t>
            </w:r>
          </w:p>
        </w:tc>
        <w:tc>
          <w:tcPr>
            <w:tcW w:w="1238" w:type="dxa"/>
            <w:hideMark/>
          </w:tcPr>
          <w:p w14:paraId="07830127" w14:textId="77777777" w:rsidR="00DC3EF6" w:rsidRDefault="00DC3EF6" w:rsidP="00FA2663">
            <w:pPr>
              <w:pStyle w:val="NormalWeb"/>
              <w:jc w:val="center"/>
            </w:pPr>
            <w:r>
              <w:t>23</w:t>
            </w:r>
          </w:p>
        </w:tc>
      </w:tr>
      <w:tr w:rsidR="00CE6A51" w14:paraId="52AE88BF" w14:textId="77777777" w:rsidTr="00A87795">
        <w:tblPrEx>
          <w:tblCellMar>
            <w:top w:w="57" w:type="dxa"/>
            <w:left w:w="57" w:type="dxa"/>
            <w:bottom w:w="57" w:type="dxa"/>
            <w:right w:w="57" w:type="dxa"/>
          </w:tblCellMar>
        </w:tblPrEx>
        <w:tc>
          <w:tcPr>
            <w:tcW w:w="1273" w:type="dxa"/>
            <w:hideMark/>
          </w:tcPr>
          <w:p w14:paraId="0BDB0D9C" w14:textId="77777777" w:rsidR="00DC3EF6" w:rsidRDefault="00DC3EF6" w:rsidP="00FA2663">
            <w:pPr>
              <w:pStyle w:val="NormalWeb"/>
            </w:pPr>
            <w:r>
              <w:t>20 to 29</w:t>
            </w:r>
          </w:p>
        </w:tc>
        <w:tc>
          <w:tcPr>
            <w:tcW w:w="1040" w:type="dxa"/>
            <w:hideMark/>
          </w:tcPr>
          <w:p w14:paraId="6DA5E366" w14:textId="77777777" w:rsidR="00DC3EF6" w:rsidRDefault="00DC3EF6" w:rsidP="00FA2663">
            <w:pPr>
              <w:pStyle w:val="NormalWeb"/>
              <w:jc w:val="center"/>
            </w:pPr>
            <w:r>
              <w:t>295</w:t>
            </w:r>
          </w:p>
        </w:tc>
        <w:tc>
          <w:tcPr>
            <w:tcW w:w="1040" w:type="dxa"/>
            <w:hideMark/>
          </w:tcPr>
          <w:p w14:paraId="1011B612" w14:textId="77777777" w:rsidR="00DC3EF6" w:rsidRDefault="00DC3EF6" w:rsidP="00FA2663">
            <w:pPr>
              <w:pStyle w:val="NormalWeb"/>
              <w:jc w:val="center"/>
            </w:pPr>
            <w:r>
              <w:t>226</w:t>
            </w:r>
          </w:p>
        </w:tc>
        <w:tc>
          <w:tcPr>
            <w:tcW w:w="1040" w:type="dxa"/>
            <w:hideMark/>
          </w:tcPr>
          <w:p w14:paraId="12828751" w14:textId="77777777" w:rsidR="00DC3EF6" w:rsidRDefault="00DC3EF6" w:rsidP="00FA2663">
            <w:pPr>
              <w:pStyle w:val="NormalWeb"/>
              <w:jc w:val="center"/>
            </w:pPr>
            <w:r>
              <w:t>521</w:t>
            </w:r>
          </w:p>
        </w:tc>
        <w:tc>
          <w:tcPr>
            <w:tcW w:w="1040" w:type="dxa"/>
            <w:hideMark/>
          </w:tcPr>
          <w:p w14:paraId="348DD970" w14:textId="77777777" w:rsidR="00DC3EF6" w:rsidRDefault="00DC3EF6" w:rsidP="00FA2663">
            <w:pPr>
              <w:pStyle w:val="NormalWeb"/>
              <w:jc w:val="center"/>
            </w:pPr>
            <w:r>
              <w:t>16</w:t>
            </w:r>
          </w:p>
        </w:tc>
        <w:tc>
          <w:tcPr>
            <w:tcW w:w="1040" w:type="dxa"/>
            <w:hideMark/>
          </w:tcPr>
          <w:p w14:paraId="40DB5B34" w14:textId="77777777" w:rsidR="00DC3EF6" w:rsidRDefault="00DC3EF6" w:rsidP="00FA2663">
            <w:pPr>
              <w:pStyle w:val="NormalWeb"/>
              <w:jc w:val="center"/>
            </w:pPr>
            <w:r>
              <w:t>12.7</w:t>
            </w:r>
          </w:p>
        </w:tc>
        <w:tc>
          <w:tcPr>
            <w:tcW w:w="1040" w:type="dxa"/>
            <w:hideMark/>
          </w:tcPr>
          <w:p w14:paraId="3A46B89A" w14:textId="77777777" w:rsidR="00DC3EF6" w:rsidRDefault="00DC3EF6" w:rsidP="00FA2663">
            <w:pPr>
              <w:pStyle w:val="NormalWeb"/>
              <w:jc w:val="center"/>
            </w:pPr>
            <w:r>
              <w:t>14.4</w:t>
            </w:r>
          </w:p>
        </w:tc>
        <w:tc>
          <w:tcPr>
            <w:tcW w:w="1237" w:type="dxa"/>
            <w:hideMark/>
          </w:tcPr>
          <w:p w14:paraId="4624B633" w14:textId="77777777" w:rsidR="00DC3EF6" w:rsidRDefault="00DC3EF6" w:rsidP="00FA2663">
            <w:pPr>
              <w:pStyle w:val="NormalWeb"/>
              <w:jc w:val="center"/>
            </w:pPr>
            <w:r>
              <w:t>626</w:t>
            </w:r>
          </w:p>
        </w:tc>
        <w:tc>
          <w:tcPr>
            <w:tcW w:w="1238" w:type="dxa"/>
            <w:hideMark/>
          </w:tcPr>
          <w:p w14:paraId="096E9C98" w14:textId="77777777" w:rsidR="00DC3EF6" w:rsidRDefault="00DC3EF6" w:rsidP="00FA2663">
            <w:pPr>
              <w:pStyle w:val="NormalWeb"/>
              <w:jc w:val="center"/>
            </w:pPr>
            <w:r>
              <w:t>567</w:t>
            </w:r>
          </w:p>
        </w:tc>
        <w:tc>
          <w:tcPr>
            <w:tcW w:w="1238" w:type="dxa"/>
            <w:hideMark/>
          </w:tcPr>
          <w:p w14:paraId="737A336E" w14:textId="77777777" w:rsidR="00DC3EF6" w:rsidRDefault="00DC3EF6" w:rsidP="00FA2663">
            <w:pPr>
              <w:pStyle w:val="NormalWeb"/>
              <w:jc w:val="center"/>
            </w:pPr>
            <w:r>
              <w:t>1,193</w:t>
            </w:r>
          </w:p>
        </w:tc>
        <w:tc>
          <w:tcPr>
            <w:tcW w:w="1238" w:type="dxa"/>
            <w:hideMark/>
          </w:tcPr>
          <w:p w14:paraId="3213F65A" w14:textId="77777777" w:rsidR="00DC3EF6" w:rsidRDefault="00DC3EF6" w:rsidP="00FA2663">
            <w:pPr>
              <w:pStyle w:val="NormalWeb"/>
              <w:jc w:val="center"/>
            </w:pPr>
            <w:r>
              <w:t>34.0</w:t>
            </w:r>
          </w:p>
        </w:tc>
        <w:tc>
          <w:tcPr>
            <w:tcW w:w="1238" w:type="dxa"/>
            <w:hideMark/>
          </w:tcPr>
          <w:p w14:paraId="42DEAA0B" w14:textId="77777777" w:rsidR="00DC3EF6" w:rsidRDefault="00DC3EF6" w:rsidP="00FA2663">
            <w:pPr>
              <w:pStyle w:val="NormalWeb"/>
              <w:jc w:val="center"/>
            </w:pPr>
            <w:r>
              <w:t>31.9</w:t>
            </w:r>
          </w:p>
        </w:tc>
        <w:tc>
          <w:tcPr>
            <w:tcW w:w="1238" w:type="dxa"/>
            <w:hideMark/>
          </w:tcPr>
          <w:p w14:paraId="732E4F8B" w14:textId="77777777" w:rsidR="00DC3EF6" w:rsidRDefault="00DC3EF6" w:rsidP="00FA2663">
            <w:pPr>
              <w:pStyle w:val="NormalWeb"/>
              <w:jc w:val="center"/>
            </w:pPr>
            <w:r>
              <w:t>33</w:t>
            </w:r>
          </w:p>
        </w:tc>
      </w:tr>
      <w:tr w:rsidR="00CE6A51" w14:paraId="5AF34EB7" w14:textId="77777777" w:rsidTr="00A8779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3" w:type="dxa"/>
            <w:hideMark/>
          </w:tcPr>
          <w:p w14:paraId="0CC0EDF8" w14:textId="77777777" w:rsidR="00DC3EF6" w:rsidRDefault="00DC3EF6" w:rsidP="00FA2663">
            <w:pPr>
              <w:pStyle w:val="NormalWeb"/>
            </w:pPr>
            <w:r>
              <w:t>30 to 39</w:t>
            </w:r>
          </w:p>
        </w:tc>
        <w:tc>
          <w:tcPr>
            <w:tcW w:w="1040" w:type="dxa"/>
            <w:hideMark/>
          </w:tcPr>
          <w:p w14:paraId="6075E9C1" w14:textId="77777777" w:rsidR="00DC3EF6" w:rsidRDefault="00DC3EF6" w:rsidP="00FA2663">
            <w:pPr>
              <w:pStyle w:val="NormalWeb"/>
              <w:jc w:val="center"/>
            </w:pPr>
            <w:r>
              <w:t>265</w:t>
            </w:r>
          </w:p>
        </w:tc>
        <w:tc>
          <w:tcPr>
            <w:tcW w:w="1040" w:type="dxa"/>
            <w:hideMark/>
          </w:tcPr>
          <w:p w14:paraId="269586D4" w14:textId="77777777" w:rsidR="00DC3EF6" w:rsidRDefault="00DC3EF6" w:rsidP="00FA2663">
            <w:pPr>
              <w:pStyle w:val="NormalWeb"/>
              <w:jc w:val="center"/>
            </w:pPr>
            <w:r>
              <w:t>209</w:t>
            </w:r>
          </w:p>
        </w:tc>
        <w:tc>
          <w:tcPr>
            <w:tcW w:w="1040" w:type="dxa"/>
            <w:hideMark/>
          </w:tcPr>
          <w:p w14:paraId="51623434" w14:textId="77777777" w:rsidR="00DC3EF6" w:rsidRDefault="00DC3EF6" w:rsidP="00FA2663">
            <w:pPr>
              <w:pStyle w:val="NormalWeb"/>
              <w:jc w:val="center"/>
            </w:pPr>
            <w:r>
              <w:t>474</w:t>
            </w:r>
          </w:p>
        </w:tc>
        <w:tc>
          <w:tcPr>
            <w:tcW w:w="1040" w:type="dxa"/>
            <w:hideMark/>
          </w:tcPr>
          <w:p w14:paraId="3F7989C7" w14:textId="77777777" w:rsidR="00DC3EF6" w:rsidRDefault="00DC3EF6" w:rsidP="00FA2663">
            <w:pPr>
              <w:pStyle w:val="NormalWeb"/>
              <w:jc w:val="center"/>
            </w:pPr>
            <w:r>
              <w:t>14.3</w:t>
            </w:r>
          </w:p>
        </w:tc>
        <w:tc>
          <w:tcPr>
            <w:tcW w:w="1040" w:type="dxa"/>
            <w:hideMark/>
          </w:tcPr>
          <w:p w14:paraId="34A77DCC" w14:textId="77777777" w:rsidR="00DC3EF6" w:rsidRDefault="00DC3EF6" w:rsidP="00FA2663">
            <w:pPr>
              <w:pStyle w:val="NormalWeb"/>
              <w:jc w:val="center"/>
            </w:pPr>
            <w:r>
              <w:t>11</w:t>
            </w:r>
          </w:p>
        </w:tc>
        <w:tc>
          <w:tcPr>
            <w:tcW w:w="1040" w:type="dxa"/>
            <w:hideMark/>
          </w:tcPr>
          <w:p w14:paraId="1891C12C" w14:textId="77777777" w:rsidR="00DC3EF6" w:rsidRDefault="00DC3EF6" w:rsidP="00FA2663">
            <w:pPr>
              <w:pStyle w:val="NormalWeb"/>
              <w:jc w:val="center"/>
            </w:pPr>
            <w:r>
              <w:t>12.6</w:t>
            </w:r>
          </w:p>
        </w:tc>
        <w:tc>
          <w:tcPr>
            <w:tcW w:w="1237" w:type="dxa"/>
            <w:hideMark/>
          </w:tcPr>
          <w:p w14:paraId="2AAC6218" w14:textId="77777777" w:rsidR="00DC3EF6" w:rsidRDefault="00DC3EF6" w:rsidP="00FA2663">
            <w:pPr>
              <w:pStyle w:val="NormalWeb"/>
              <w:jc w:val="center"/>
            </w:pPr>
            <w:r>
              <w:t>650</w:t>
            </w:r>
          </w:p>
        </w:tc>
        <w:tc>
          <w:tcPr>
            <w:tcW w:w="1238" w:type="dxa"/>
            <w:hideMark/>
          </w:tcPr>
          <w:p w14:paraId="323BF388" w14:textId="77777777" w:rsidR="00DC3EF6" w:rsidRDefault="00DC3EF6" w:rsidP="00FA2663">
            <w:pPr>
              <w:pStyle w:val="NormalWeb"/>
              <w:jc w:val="center"/>
            </w:pPr>
            <w:r>
              <w:t>520</w:t>
            </w:r>
          </w:p>
        </w:tc>
        <w:tc>
          <w:tcPr>
            <w:tcW w:w="1238" w:type="dxa"/>
            <w:hideMark/>
          </w:tcPr>
          <w:p w14:paraId="40FA86D1" w14:textId="77777777" w:rsidR="00DC3EF6" w:rsidRDefault="00DC3EF6" w:rsidP="00FA2663">
            <w:pPr>
              <w:pStyle w:val="NormalWeb"/>
              <w:jc w:val="center"/>
            </w:pPr>
            <w:r>
              <w:t>1,170</w:t>
            </w:r>
          </w:p>
        </w:tc>
        <w:tc>
          <w:tcPr>
            <w:tcW w:w="1238" w:type="dxa"/>
            <w:hideMark/>
          </w:tcPr>
          <w:p w14:paraId="6612D4AB" w14:textId="77777777" w:rsidR="00DC3EF6" w:rsidRDefault="00DC3EF6" w:rsidP="00FA2663">
            <w:pPr>
              <w:pStyle w:val="NormalWeb"/>
              <w:jc w:val="center"/>
            </w:pPr>
            <w:r>
              <w:t>35.0</w:t>
            </w:r>
          </w:p>
        </w:tc>
        <w:tc>
          <w:tcPr>
            <w:tcW w:w="1238" w:type="dxa"/>
            <w:hideMark/>
          </w:tcPr>
          <w:p w14:paraId="7B758EAA" w14:textId="77777777" w:rsidR="00DC3EF6" w:rsidRDefault="00DC3EF6" w:rsidP="00FA2663">
            <w:pPr>
              <w:pStyle w:val="NormalWeb"/>
              <w:jc w:val="center"/>
            </w:pPr>
            <w:r>
              <w:t>27.3</w:t>
            </w:r>
          </w:p>
        </w:tc>
        <w:tc>
          <w:tcPr>
            <w:tcW w:w="1238" w:type="dxa"/>
            <w:hideMark/>
          </w:tcPr>
          <w:p w14:paraId="67EF1B32" w14:textId="77777777" w:rsidR="00DC3EF6" w:rsidRDefault="00DC3EF6" w:rsidP="00FA2663">
            <w:pPr>
              <w:pStyle w:val="NormalWeb"/>
              <w:jc w:val="center"/>
            </w:pPr>
            <w:r>
              <w:t>31.1</w:t>
            </w:r>
          </w:p>
        </w:tc>
      </w:tr>
      <w:tr w:rsidR="00CE6A51" w14:paraId="3F2E5E73" w14:textId="77777777" w:rsidTr="00A87795">
        <w:tblPrEx>
          <w:tblCellMar>
            <w:top w:w="57" w:type="dxa"/>
            <w:left w:w="57" w:type="dxa"/>
            <w:bottom w:w="57" w:type="dxa"/>
            <w:right w:w="57" w:type="dxa"/>
          </w:tblCellMar>
        </w:tblPrEx>
        <w:tc>
          <w:tcPr>
            <w:tcW w:w="1273" w:type="dxa"/>
            <w:hideMark/>
          </w:tcPr>
          <w:p w14:paraId="431F9E7E" w14:textId="77777777" w:rsidR="00DC3EF6" w:rsidRDefault="00DC3EF6" w:rsidP="00FA2663">
            <w:pPr>
              <w:pStyle w:val="NormalWeb"/>
            </w:pPr>
            <w:r>
              <w:t>40 to 49</w:t>
            </w:r>
          </w:p>
        </w:tc>
        <w:tc>
          <w:tcPr>
            <w:tcW w:w="1040" w:type="dxa"/>
            <w:hideMark/>
          </w:tcPr>
          <w:p w14:paraId="2F1023B6" w14:textId="77777777" w:rsidR="00DC3EF6" w:rsidRDefault="00DC3EF6" w:rsidP="00FA2663">
            <w:pPr>
              <w:pStyle w:val="NormalWeb"/>
              <w:jc w:val="center"/>
            </w:pPr>
            <w:r>
              <w:t>124</w:t>
            </w:r>
          </w:p>
        </w:tc>
        <w:tc>
          <w:tcPr>
            <w:tcW w:w="1040" w:type="dxa"/>
            <w:hideMark/>
          </w:tcPr>
          <w:p w14:paraId="1936D217" w14:textId="77777777" w:rsidR="00DC3EF6" w:rsidRDefault="00DC3EF6" w:rsidP="00FA2663">
            <w:pPr>
              <w:pStyle w:val="NormalWeb"/>
              <w:jc w:val="center"/>
            </w:pPr>
            <w:r>
              <w:t>143</w:t>
            </w:r>
          </w:p>
        </w:tc>
        <w:tc>
          <w:tcPr>
            <w:tcW w:w="1040" w:type="dxa"/>
            <w:hideMark/>
          </w:tcPr>
          <w:p w14:paraId="67266F14" w14:textId="77777777" w:rsidR="00DC3EF6" w:rsidRDefault="00DC3EF6" w:rsidP="00FA2663">
            <w:pPr>
              <w:pStyle w:val="NormalWeb"/>
              <w:jc w:val="center"/>
            </w:pPr>
            <w:r>
              <w:t>267</w:t>
            </w:r>
          </w:p>
        </w:tc>
        <w:tc>
          <w:tcPr>
            <w:tcW w:w="1040" w:type="dxa"/>
            <w:hideMark/>
          </w:tcPr>
          <w:p w14:paraId="48805158" w14:textId="77777777" w:rsidR="00DC3EF6" w:rsidRDefault="00DC3EF6" w:rsidP="00FA2663">
            <w:pPr>
              <w:pStyle w:val="NormalWeb"/>
              <w:jc w:val="center"/>
            </w:pPr>
            <w:r>
              <w:t>7.6</w:t>
            </w:r>
          </w:p>
        </w:tc>
        <w:tc>
          <w:tcPr>
            <w:tcW w:w="1040" w:type="dxa"/>
            <w:hideMark/>
          </w:tcPr>
          <w:p w14:paraId="7DBD7934" w14:textId="77777777" w:rsidR="00DC3EF6" w:rsidRDefault="00DC3EF6" w:rsidP="00FA2663">
            <w:pPr>
              <w:pStyle w:val="NormalWeb"/>
              <w:jc w:val="center"/>
            </w:pPr>
            <w:r>
              <w:t>8.6</w:t>
            </w:r>
          </w:p>
        </w:tc>
        <w:tc>
          <w:tcPr>
            <w:tcW w:w="1040" w:type="dxa"/>
            <w:hideMark/>
          </w:tcPr>
          <w:p w14:paraId="68DFB0BB" w14:textId="77777777" w:rsidR="00DC3EF6" w:rsidRDefault="00DC3EF6" w:rsidP="00FA2663">
            <w:pPr>
              <w:pStyle w:val="NormalWeb"/>
              <w:jc w:val="center"/>
            </w:pPr>
            <w:r>
              <w:t>8.1</w:t>
            </w:r>
          </w:p>
        </w:tc>
        <w:tc>
          <w:tcPr>
            <w:tcW w:w="1237" w:type="dxa"/>
            <w:hideMark/>
          </w:tcPr>
          <w:p w14:paraId="688BE50D" w14:textId="77777777" w:rsidR="00DC3EF6" w:rsidRDefault="00DC3EF6" w:rsidP="00FA2663">
            <w:pPr>
              <w:pStyle w:val="NormalWeb"/>
              <w:jc w:val="center"/>
            </w:pPr>
            <w:r>
              <w:t>413</w:t>
            </w:r>
          </w:p>
        </w:tc>
        <w:tc>
          <w:tcPr>
            <w:tcW w:w="1238" w:type="dxa"/>
            <w:hideMark/>
          </w:tcPr>
          <w:p w14:paraId="59DF0BDF" w14:textId="77777777" w:rsidR="00DC3EF6" w:rsidRDefault="00DC3EF6" w:rsidP="00FA2663">
            <w:pPr>
              <w:pStyle w:val="NormalWeb"/>
              <w:jc w:val="center"/>
            </w:pPr>
            <w:r>
              <w:t>330</w:t>
            </w:r>
          </w:p>
        </w:tc>
        <w:tc>
          <w:tcPr>
            <w:tcW w:w="1238" w:type="dxa"/>
            <w:hideMark/>
          </w:tcPr>
          <w:p w14:paraId="5CD75648" w14:textId="77777777" w:rsidR="00DC3EF6" w:rsidRDefault="00DC3EF6" w:rsidP="00FA2663">
            <w:pPr>
              <w:pStyle w:val="NormalWeb"/>
              <w:jc w:val="center"/>
            </w:pPr>
            <w:r>
              <w:t>743</w:t>
            </w:r>
          </w:p>
        </w:tc>
        <w:tc>
          <w:tcPr>
            <w:tcW w:w="1238" w:type="dxa"/>
            <w:hideMark/>
          </w:tcPr>
          <w:p w14:paraId="4C15F40D" w14:textId="77777777" w:rsidR="00DC3EF6" w:rsidRDefault="00DC3EF6" w:rsidP="00FA2663">
            <w:pPr>
              <w:pStyle w:val="NormalWeb"/>
              <w:jc w:val="center"/>
            </w:pPr>
            <w:r>
              <w:t>25.3</w:t>
            </w:r>
          </w:p>
        </w:tc>
        <w:tc>
          <w:tcPr>
            <w:tcW w:w="1238" w:type="dxa"/>
            <w:hideMark/>
          </w:tcPr>
          <w:p w14:paraId="01408625" w14:textId="77777777" w:rsidR="00DC3EF6" w:rsidRDefault="00DC3EF6" w:rsidP="00FA2663">
            <w:pPr>
              <w:pStyle w:val="NormalWeb"/>
              <w:jc w:val="center"/>
            </w:pPr>
            <w:r>
              <w:t>19.8</w:t>
            </w:r>
          </w:p>
        </w:tc>
        <w:tc>
          <w:tcPr>
            <w:tcW w:w="1238" w:type="dxa"/>
            <w:hideMark/>
          </w:tcPr>
          <w:p w14:paraId="2366F0BE" w14:textId="77777777" w:rsidR="00DC3EF6" w:rsidRDefault="00DC3EF6" w:rsidP="00FA2663">
            <w:pPr>
              <w:pStyle w:val="NormalWeb"/>
              <w:jc w:val="center"/>
            </w:pPr>
            <w:r>
              <w:t>22.5</w:t>
            </w:r>
          </w:p>
        </w:tc>
      </w:tr>
      <w:tr w:rsidR="00CE6A51" w14:paraId="5A0C189E" w14:textId="77777777" w:rsidTr="00A8779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3" w:type="dxa"/>
            <w:hideMark/>
          </w:tcPr>
          <w:p w14:paraId="70EA344F" w14:textId="77777777" w:rsidR="00DC3EF6" w:rsidRDefault="00DC3EF6" w:rsidP="00FA2663">
            <w:pPr>
              <w:pStyle w:val="NormalWeb"/>
            </w:pPr>
            <w:r>
              <w:t>50 to 59</w:t>
            </w:r>
          </w:p>
        </w:tc>
        <w:tc>
          <w:tcPr>
            <w:tcW w:w="1040" w:type="dxa"/>
            <w:hideMark/>
          </w:tcPr>
          <w:p w14:paraId="63E5AAA4" w14:textId="77777777" w:rsidR="00DC3EF6" w:rsidRDefault="00DC3EF6" w:rsidP="00FA2663">
            <w:pPr>
              <w:pStyle w:val="NormalWeb"/>
              <w:jc w:val="center"/>
            </w:pPr>
            <w:r>
              <w:t>165</w:t>
            </w:r>
          </w:p>
        </w:tc>
        <w:tc>
          <w:tcPr>
            <w:tcW w:w="1040" w:type="dxa"/>
            <w:hideMark/>
          </w:tcPr>
          <w:p w14:paraId="7CD03DCD" w14:textId="77777777" w:rsidR="00DC3EF6" w:rsidRDefault="00DC3EF6" w:rsidP="00FA2663">
            <w:pPr>
              <w:pStyle w:val="NormalWeb"/>
              <w:jc w:val="center"/>
            </w:pPr>
            <w:r>
              <w:t>132</w:t>
            </w:r>
          </w:p>
        </w:tc>
        <w:tc>
          <w:tcPr>
            <w:tcW w:w="1040" w:type="dxa"/>
            <w:hideMark/>
          </w:tcPr>
          <w:p w14:paraId="5BDFD4B6" w14:textId="77777777" w:rsidR="00DC3EF6" w:rsidRDefault="00DC3EF6" w:rsidP="00FA2663">
            <w:pPr>
              <w:pStyle w:val="NormalWeb"/>
              <w:jc w:val="center"/>
            </w:pPr>
            <w:r>
              <w:t>297</w:t>
            </w:r>
          </w:p>
        </w:tc>
        <w:tc>
          <w:tcPr>
            <w:tcW w:w="1040" w:type="dxa"/>
            <w:hideMark/>
          </w:tcPr>
          <w:p w14:paraId="34F0320B" w14:textId="77777777" w:rsidR="00DC3EF6" w:rsidRDefault="00DC3EF6" w:rsidP="00FA2663">
            <w:pPr>
              <w:pStyle w:val="NormalWeb"/>
              <w:jc w:val="center"/>
            </w:pPr>
            <w:r>
              <w:t>10.8</w:t>
            </w:r>
          </w:p>
        </w:tc>
        <w:tc>
          <w:tcPr>
            <w:tcW w:w="1040" w:type="dxa"/>
            <w:hideMark/>
          </w:tcPr>
          <w:p w14:paraId="7DBCA75C" w14:textId="77777777" w:rsidR="00DC3EF6" w:rsidRDefault="00DC3EF6" w:rsidP="00FA2663">
            <w:pPr>
              <w:pStyle w:val="NormalWeb"/>
              <w:jc w:val="center"/>
            </w:pPr>
            <w:r>
              <w:t>8.3</w:t>
            </w:r>
          </w:p>
        </w:tc>
        <w:tc>
          <w:tcPr>
            <w:tcW w:w="1040" w:type="dxa"/>
            <w:hideMark/>
          </w:tcPr>
          <w:p w14:paraId="496D6CAE" w14:textId="77777777" w:rsidR="00DC3EF6" w:rsidRDefault="00DC3EF6" w:rsidP="00FA2663">
            <w:pPr>
              <w:pStyle w:val="NormalWeb"/>
              <w:jc w:val="center"/>
            </w:pPr>
            <w:r>
              <w:t>9.5</w:t>
            </w:r>
          </w:p>
        </w:tc>
        <w:tc>
          <w:tcPr>
            <w:tcW w:w="1237" w:type="dxa"/>
            <w:hideMark/>
          </w:tcPr>
          <w:p w14:paraId="05EF3D96" w14:textId="77777777" w:rsidR="00DC3EF6" w:rsidRDefault="00DC3EF6" w:rsidP="00FA2663">
            <w:pPr>
              <w:pStyle w:val="NormalWeb"/>
              <w:jc w:val="center"/>
            </w:pPr>
            <w:r>
              <w:t>372</w:t>
            </w:r>
          </w:p>
        </w:tc>
        <w:tc>
          <w:tcPr>
            <w:tcW w:w="1238" w:type="dxa"/>
            <w:hideMark/>
          </w:tcPr>
          <w:p w14:paraId="461A45F6" w14:textId="77777777" w:rsidR="00DC3EF6" w:rsidRDefault="00DC3EF6" w:rsidP="00FA2663">
            <w:pPr>
              <w:pStyle w:val="NormalWeb"/>
              <w:jc w:val="center"/>
            </w:pPr>
            <w:r>
              <w:t>287</w:t>
            </w:r>
          </w:p>
        </w:tc>
        <w:tc>
          <w:tcPr>
            <w:tcW w:w="1238" w:type="dxa"/>
            <w:hideMark/>
          </w:tcPr>
          <w:p w14:paraId="78FAB71F" w14:textId="77777777" w:rsidR="00DC3EF6" w:rsidRDefault="00DC3EF6" w:rsidP="00FA2663">
            <w:pPr>
              <w:pStyle w:val="NormalWeb"/>
              <w:jc w:val="center"/>
            </w:pPr>
            <w:r>
              <w:t>659</w:t>
            </w:r>
          </w:p>
        </w:tc>
        <w:tc>
          <w:tcPr>
            <w:tcW w:w="1238" w:type="dxa"/>
            <w:hideMark/>
          </w:tcPr>
          <w:p w14:paraId="45500869" w14:textId="77777777" w:rsidR="00DC3EF6" w:rsidRDefault="00DC3EF6" w:rsidP="00FA2663">
            <w:pPr>
              <w:pStyle w:val="NormalWeb"/>
              <w:jc w:val="center"/>
            </w:pPr>
            <w:r>
              <w:t>24.4</w:t>
            </w:r>
          </w:p>
        </w:tc>
        <w:tc>
          <w:tcPr>
            <w:tcW w:w="1238" w:type="dxa"/>
            <w:hideMark/>
          </w:tcPr>
          <w:p w14:paraId="2A5F9091" w14:textId="77777777" w:rsidR="00DC3EF6" w:rsidRDefault="00DC3EF6" w:rsidP="00FA2663">
            <w:pPr>
              <w:pStyle w:val="NormalWeb"/>
              <w:jc w:val="center"/>
            </w:pPr>
            <w:r>
              <w:t>18.0</w:t>
            </w:r>
          </w:p>
        </w:tc>
        <w:tc>
          <w:tcPr>
            <w:tcW w:w="1238" w:type="dxa"/>
            <w:hideMark/>
          </w:tcPr>
          <w:p w14:paraId="2F39DE26" w14:textId="77777777" w:rsidR="00DC3EF6" w:rsidRDefault="00DC3EF6" w:rsidP="00FA2663">
            <w:pPr>
              <w:pStyle w:val="NormalWeb"/>
              <w:jc w:val="center"/>
            </w:pPr>
            <w:r>
              <w:t>21.1</w:t>
            </w:r>
          </w:p>
        </w:tc>
      </w:tr>
      <w:tr w:rsidR="00CE6A51" w14:paraId="60E5C532" w14:textId="77777777" w:rsidTr="00A87795">
        <w:tblPrEx>
          <w:tblCellMar>
            <w:top w:w="57" w:type="dxa"/>
            <w:left w:w="57" w:type="dxa"/>
            <w:bottom w:w="57" w:type="dxa"/>
            <w:right w:w="57" w:type="dxa"/>
          </w:tblCellMar>
        </w:tblPrEx>
        <w:tc>
          <w:tcPr>
            <w:tcW w:w="1273" w:type="dxa"/>
            <w:hideMark/>
          </w:tcPr>
          <w:p w14:paraId="1D1943CF" w14:textId="77777777" w:rsidR="00DC3EF6" w:rsidRDefault="00DC3EF6" w:rsidP="00FA2663">
            <w:pPr>
              <w:pStyle w:val="NormalWeb"/>
            </w:pPr>
            <w:r>
              <w:t>60 to 69</w:t>
            </w:r>
          </w:p>
        </w:tc>
        <w:tc>
          <w:tcPr>
            <w:tcW w:w="1040" w:type="dxa"/>
            <w:hideMark/>
          </w:tcPr>
          <w:p w14:paraId="6D4B30F1" w14:textId="77777777" w:rsidR="00DC3EF6" w:rsidRDefault="00DC3EF6" w:rsidP="00FA2663">
            <w:pPr>
              <w:pStyle w:val="NormalWeb"/>
              <w:jc w:val="center"/>
            </w:pPr>
            <w:r>
              <w:t>93</w:t>
            </w:r>
          </w:p>
        </w:tc>
        <w:tc>
          <w:tcPr>
            <w:tcW w:w="1040" w:type="dxa"/>
            <w:hideMark/>
          </w:tcPr>
          <w:p w14:paraId="78A17818" w14:textId="77777777" w:rsidR="00DC3EF6" w:rsidRDefault="00DC3EF6" w:rsidP="00FA2663">
            <w:pPr>
              <w:pStyle w:val="NormalWeb"/>
              <w:jc w:val="center"/>
            </w:pPr>
            <w:r>
              <w:t>68</w:t>
            </w:r>
          </w:p>
        </w:tc>
        <w:tc>
          <w:tcPr>
            <w:tcW w:w="1040" w:type="dxa"/>
            <w:hideMark/>
          </w:tcPr>
          <w:p w14:paraId="65893C4F" w14:textId="77777777" w:rsidR="00DC3EF6" w:rsidRDefault="00DC3EF6" w:rsidP="00FA2663">
            <w:pPr>
              <w:pStyle w:val="NormalWeb"/>
              <w:jc w:val="center"/>
            </w:pPr>
            <w:r>
              <w:t>161</w:t>
            </w:r>
          </w:p>
        </w:tc>
        <w:tc>
          <w:tcPr>
            <w:tcW w:w="1040" w:type="dxa"/>
            <w:hideMark/>
          </w:tcPr>
          <w:p w14:paraId="5CDB8BD2" w14:textId="77777777" w:rsidR="00DC3EF6" w:rsidRDefault="00DC3EF6" w:rsidP="00FA2663">
            <w:pPr>
              <w:pStyle w:val="NormalWeb"/>
              <w:jc w:val="center"/>
            </w:pPr>
            <w:r>
              <w:t>7.1</w:t>
            </w:r>
          </w:p>
        </w:tc>
        <w:tc>
          <w:tcPr>
            <w:tcW w:w="1040" w:type="dxa"/>
            <w:hideMark/>
          </w:tcPr>
          <w:p w14:paraId="6D8FF16B" w14:textId="77777777" w:rsidR="00DC3EF6" w:rsidRDefault="00DC3EF6" w:rsidP="00FA2663">
            <w:pPr>
              <w:pStyle w:val="NormalWeb"/>
              <w:jc w:val="center"/>
            </w:pPr>
            <w:r>
              <w:t>4.9</w:t>
            </w:r>
          </w:p>
        </w:tc>
        <w:tc>
          <w:tcPr>
            <w:tcW w:w="1040" w:type="dxa"/>
            <w:hideMark/>
          </w:tcPr>
          <w:p w14:paraId="462D98EC" w14:textId="77777777" w:rsidR="00DC3EF6" w:rsidRDefault="00DC3EF6" w:rsidP="00FA2663">
            <w:pPr>
              <w:pStyle w:val="NormalWeb"/>
              <w:jc w:val="center"/>
            </w:pPr>
            <w:r>
              <w:t>6</w:t>
            </w:r>
          </w:p>
        </w:tc>
        <w:tc>
          <w:tcPr>
            <w:tcW w:w="1237" w:type="dxa"/>
            <w:hideMark/>
          </w:tcPr>
          <w:p w14:paraId="5E5063BC" w14:textId="77777777" w:rsidR="00DC3EF6" w:rsidRDefault="00DC3EF6" w:rsidP="00FA2663">
            <w:pPr>
              <w:pStyle w:val="NormalWeb"/>
              <w:jc w:val="center"/>
            </w:pPr>
            <w:r>
              <w:t>210</w:t>
            </w:r>
          </w:p>
        </w:tc>
        <w:tc>
          <w:tcPr>
            <w:tcW w:w="1238" w:type="dxa"/>
            <w:hideMark/>
          </w:tcPr>
          <w:p w14:paraId="4D0F0082" w14:textId="77777777" w:rsidR="00DC3EF6" w:rsidRDefault="00DC3EF6" w:rsidP="00FA2663">
            <w:pPr>
              <w:pStyle w:val="NormalWeb"/>
              <w:jc w:val="center"/>
            </w:pPr>
            <w:r>
              <w:t>138</w:t>
            </w:r>
          </w:p>
        </w:tc>
        <w:tc>
          <w:tcPr>
            <w:tcW w:w="1238" w:type="dxa"/>
            <w:hideMark/>
          </w:tcPr>
          <w:p w14:paraId="53935391" w14:textId="77777777" w:rsidR="00DC3EF6" w:rsidRDefault="00DC3EF6" w:rsidP="00FA2663">
            <w:pPr>
              <w:pStyle w:val="NormalWeb"/>
              <w:jc w:val="center"/>
            </w:pPr>
            <w:r>
              <w:t>348</w:t>
            </w:r>
          </w:p>
        </w:tc>
        <w:tc>
          <w:tcPr>
            <w:tcW w:w="1238" w:type="dxa"/>
            <w:hideMark/>
          </w:tcPr>
          <w:p w14:paraId="55F9C16F" w14:textId="77777777" w:rsidR="00DC3EF6" w:rsidRDefault="00DC3EF6" w:rsidP="00FA2663">
            <w:pPr>
              <w:pStyle w:val="NormalWeb"/>
              <w:jc w:val="center"/>
            </w:pPr>
            <w:r>
              <w:t>16.1</w:t>
            </w:r>
          </w:p>
        </w:tc>
        <w:tc>
          <w:tcPr>
            <w:tcW w:w="1238" w:type="dxa"/>
            <w:hideMark/>
          </w:tcPr>
          <w:p w14:paraId="697E9E68" w14:textId="77777777" w:rsidR="00DC3EF6" w:rsidRDefault="00DC3EF6" w:rsidP="00FA2663">
            <w:pPr>
              <w:pStyle w:val="NormalWeb"/>
              <w:jc w:val="center"/>
            </w:pPr>
            <w:r>
              <w:t>10.0</w:t>
            </w:r>
          </w:p>
        </w:tc>
        <w:tc>
          <w:tcPr>
            <w:tcW w:w="1238" w:type="dxa"/>
            <w:hideMark/>
          </w:tcPr>
          <w:p w14:paraId="398FE8E1" w14:textId="77777777" w:rsidR="00DC3EF6" w:rsidRDefault="00DC3EF6" w:rsidP="00FA2663">
            <w:pPr>
              <w:pStyle w:val="NormalWeb"/>
              <w:jc w:val="center"/>
            </w:pPr>
            <w:r>
              <w:t>13</w:t>
            </w:r>
          </w:p>
        </w:tc>
      </w:tr>
      <w:tr w:rsidR="00CE6A51" w14:paraId="3BFBEB9E" w14:textId="77777777" w:rsidTr="00A8779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3" w:type="dxa"/>
            <w:hideMark/>
          </w:tcPr>
          <w:p w14:paraId="69CAF79D" w14:textId="77777777" w:rsidR="00DC3EF6" w:rsidRDefault="00DC3EF6" w:rsidP="00FA2663">
            <w:pPr>
              <w:pStyle w:val="NormalWeb"/>
            </w:pPr>
            <w:r>
              <w:t>70 to 79</w:t>
            </w:r>
          </w:p>
        </w:tc>
        <w:tc>
          <w:tcPr>
            <w:tcW w:w="1040" w:type="dxa"/>
            <w:hideMark/>
          </w:tcPr>
          <w:p w14:paraId="2A8A23D1" w14:textId="77777777" w:rsidR="00DC3EF6" w:rsidRDefault="00DC3EF6" w:rsidP="00FA2663">
            <w:pPr>
              <w:pStyle w:val="NormalWeb"/>
              <w:jc w:val="center"/>
            </w:pPr>
            <w:r>
              <w:t>35</w:t>
            </w:r>
          </w:p>
        </w:tc>
        <w:tc>
          <w:tcPr>
            <w:tcW w:w="1040" w:type="dxa"/>
            <w:hideMark/>
          </w:tcPr>
          <w:p w14:paraId="108CE457" w14:textId="77777777" w:rsidR="00DC3EF6" w:rsidRDefault="00DC3EF6" w:rsidP="00FA2663">
            <w:pPr>
              <w:pStyle w:val="NormalWeb"/>
              <w:jc w:val="center"/>
            </w:pPr>
            <w:r>
              <w:t>35</w:t>
            </w:r>
          </w:p>
        </w:tc>
        <w:tc>
          <w:tcPr>
            <w:tcW w:w="1040" w:type="dxa"/>
            <w:hideMark/>
          </w:tcPr>
          <w:p w14:paraId="0820A82A" w14:textId="77777777" w:rsidR="00DC3EF6" w:rsidRDefault="00DC3EF6" w:rsidP="00FA2663">
            <w:pPr>
              <w:pStyle w:val="NormalWeb"/>
              <w:jc w:val="center"/>
            </w:pPr>
            <w:r>
              <w:t>70</w:t>
            </w:r>
          </w:p>
        </w:tc>
        <w:tc>
          <w:tcPr>
            <w:tcW w:w="1040" w:type="dxa"/>
            <w:hideMark/>
          </w:tcPr>
          <w:p w14:paraId="67DFFC77" w14:textId="77777777" w:rsidR="00DC3EF6" w:rsidRDefault="00DC3EF6" w:rsidP="00FA2663">
            <w:pPr>
              <w:pStyle w:val="NormalWeb"/>
              <w:jc w:val="center"/>
            </w:pPr>
            <w:r>
              <w:t>3.8</w:t>
            </w:r>
          </w:p>
        </w:tc>
        <w:tc>
          <w:tcPr>
            <w:tcW w:w="1040" w:type="dxa"/>
            <w:hideMark/>
          </w:tcPr>
          <w:p w14:paraId="16E55DB0" w14:textId="77777777" w:rsidR="00DC3EF6" w:rsidRDefault="00DC3EF6" w:rsidP="00FA2663">
            <w:pPr>
              <w:pStyle w:val="NormalWeb"/>
              <w:jc w:val="center"/>
            </w:pPr>
            <w:r>
              <w:t>3.6</w:t>
            </w:r>
          </w:p>
        </w:tc>
        <w:tc>
          <w:tcPr>
            <w:tcW w:w="1040" w:type="dxa"/>
            <w:hideMark/>
          </w:tcPr>
          <w:p w14:paraId="7847F776" w14:textId="77777777" w:rsidR="00DC3EF6" w:rsidRDefault="00DC3EF6" w:rsidP="00FA2663">
            <w:pPr>
              <w:pStyle w:val="NormalWeb"/>
              <w:jc w:val="center"/>
            </w:pPr>
            <w:r>
              <w:t>3.7</w:t>
            </w:r>
          </w:p>
        </w:tc>
        <w:tc>
          <w:tcPr>
            <w:tcW w:w="1237" w:type="dxa"/>
            <w:hideMark/>
          </w:tcPr>
          <w:p w14:paraId="7BED517D" w14:textId="77777777" w:rsidR="00DC3EF6" w:rsidRDefault="00DC3EF6" w:rsidP="00FA2663">
            <w:pPr>
              <w:pStyle w:val="NormalWeb"/>
              <w:jc w:val="center"/>
            </w:pPr>
            <w:r>
              <w:t>77</w:t>
            </w:r>
          </w:p>
        </w:tc>
        <w:tc>
          <w:tcPr>
            <w:tcW w:w="1238" w:type="dxa"/>
            <w:hideMark/>
          </w:tcPr>
          <w:p w14:paraId="5A5C30B4" w14:textId="77777777" w:rsidR="00DC3EF6" w:rsidRDefault="00DC3EF6" w:rsidP="00FA2663">
            <w:pPr>
              <w:pStyle w:val="NormalWeb"/>
              <w:jc w:val="center"/>
            </w:pPr>
            <w:r>
              <w:t>67</w:t>
            </w:r>
          </w:p>
        </w:tc>
        <w:tc>
          <w:tcPr>
            <w:tcW w:w="1238" w:type="dxa"/>
            <w:hideMark/>
          </w:tcPr>
          <w:p w14:paraId="1DC552D1" w14:textId="77777777" w:rsidR="00DC3EF6" w:rsidRDefault="00DC3EF6" w:rsidP="00FA2663">
            <w:pPr>
              <w:pStyle w:val="NormalWeb"/>
              <w:jc w:val="center"/>
            </w:pPr>
            <w:r>
              <w:t>144</w:t>
            </w:r>
          </w:p>
        </w:tc>
        <w:tc>
          <w:tcPr>
            <w:tcW w:w="1238" w:type="dxa"/>
            <w:hideMark/>
          </w:tcPr>
          <w:p w14:paraId="3606E535" w14:textId="77777777" w:rsidR="00DC3EF6" w:rsidRDefault="00DC3EF6" w:rsidP="00FA2663">
            <w:pPr>
              <w:pStyle w:val="NormalWeb"/>
              <w:jc w:val="center"/>
            </w:pPr>
            <w:r>
              <w:t>8.5</w:t>
            </w:r>
          </w:p>
        </w:tc>
        <w:tc>
          <w:tcPr>
            <w:tcW w:w="1238" w:type="dxa"/>
            <w:hideMark/>
          </w:tcPr>
          <w:p w14:paraId="4193EE75" w14:textId="77777777" w:rsidR="00DC3EF6" w:rsidRDefault="00DC3EF6" w:rsidP="00FA2663">
            <w:pPr>
              <w:pStyle w:val="NormalWeb"/>
              <w:jc w:val="center"/>
            </w:pPr>
            <w:r>
              <w:t>6.9</w:t>
            </w:r>
          </w:p>
        </w:tc>
        <w:tc>
          <w:tcPr>
            <w:tcW w:w="1238" w:type="dxa"/>
            <w:hideMark/>
          </w:tcPr>
          <w:p w14:paraId="632FCDED" w14:textId="77777777" w:rsidR="00DC3EF6" w:rsidRDefault="00DC3EF6" w:rsidP="00FA2663">
            <w:pPr>
              <w:pStyle w:val="NormalWeb"/>
              <w:jc w:val="center"/>
            </w:pPr>
            <w:r>
              <w:t>7.7</w:t>
            </w:r>
          </w:p>
        </w:tc>
      </w:tr>
      <w:tr w:rsidR="00CE6A51" w14:paraId="3A46D06C" w14:textId="77777777" w:rsidTr="00A87795">
        <w:tblPrEx>
          <w:tblCellMar>
            <w:top w:w="57" w:type="dxa"/>
            <w:left w:w="57" w:type="dxa"/>
            <w:bottom w:w="57" w:type="dxa"/>
            <w:right w:w="57" w:type="dxa"/>
          </w:tblCellMar>
        </w:tblPrEx>
        <w:tc>
          <w:tcPr>
            <w:tcW w:w="1273" w:type="dxa"/>
            <w:hideMark/>
          </w:tcPr>
          <w:p w14:paraId="4A8AE32A" w14:textId="77777777" w:rsidR="00DC3EF6" w:rsidRDefault="00DC3EF6" w:rsidP="00FA2663">
            <w:pPr>
              <w:pStyle w:val="NormalWeb"/>
            </w:pPr>
            <w:r>
              <w:t>80 to 89</w:t>
            </w:r>
          </w:p>
        </w:tc>
        <w:tc>
          <w:tcPr>
            <w:tcW w:w="1040" w:type="dxa"/>
            <w:hideMark/>
          </w:tcPr>
          <w:p w14:paraId="4D39A922" w14:textId="77777777" w:rsidR="00DC3EF6" w:rsidRDefault="00DC3EF6" w:rsidP="00FA2663">
            <w:pPr>
              <w:pStyle w:val="NormalWeb"/>
              <w:jc w:val="center"/>
            </w:pPr>
            <w:r>
              <w:t>21</w:t>
            </w:r>
          </w:p>
        </w:tc>
        <w:tc>
          <w:tcPr>
            <w:tcW w:w="1040" w:type="dxa"/>
            <w:hideMark/>
          </w:tcPr>
          <w:p w14:paraId="381A6641" w14:textId="77777777" w:rsidR="00DC3EF6" w:rsidRDefault="00DC3EF6" w:rsidP="00FA2663">
            <w:pPr>
              <w:pStyle w:val="NormalWeb"/>
              <w:jc w:val="center"/>
            </w:pPr>
            <w:r>
              <w:t>25</w:t>
            </w:r>
          </w:p>
        </w:tc>
        <w:tc>
          <w:tcPr>
            <w:tcW w:w="1040" w:type="dxa"/>
            <w:hideMark/>
          </w:tcPr>
          <w:p w14:paraId="67D18A7A" w14:textId="77777777" w:rsidR="00DC3EF6" w:rsidRDefault="00DC3EF6" w:rsidP="00FA2663">
            <w:pPr>
              <w:pStyle w:val="NormalWeb"/>
              <w:jc w:val="center"/>
            </w:pPr>
            <w:r>
              <w:t>46</w:t>
            </w:r>
          </w:p>
        </w:tc>
        <w:tc>
          <w:tcPr>
            <w:tcW w:w="1040" w:type="dxa"/>
            <w:hideMark/>
          </w:tcPr>
          <w:p w14:paraId="6CBA535E" w14:textId="77777777" w:rsidR="00DC3EF6" w:rsidRDefault="00DC3EF6" w:rsidP="00FA2663">
            <w:pPr>
              <w:pStyle w:val="NormalWeb"/>
              <w:jc w:val="center"/>
            </w:pPr>
            <w:r>
              <w:t>5.7</w:t>
            </w:r>
          </w:p>
        </w:tc>
        <w:tc>
          <w:tcPr>
            <w:tcW w:w="1040" w:type="dxa"/>
            <w:hideMark/>
          </w:tcPr>
          <w:p w14:paraId="431D3050" w14:textId="77777777" w:rsidR="00DC3EF6" w:rsidRDefault="00DC3EF6" w:rsidP="00FA2663">
            <w:pPr>
              <w:pStyle w:val="NormalWeb"/>
              <w:jc w:val="center"/>
            </w:pPr>
            <w:r>
              <w:t>5.3</w:t>
            </w:r>
          </w:p>
        </w:tc>
        <w:tc>
          <w:tcPr>
            <w:tcW w:w="1040" w:type="dxa"/>
            <w:hideMark/>
          </w:tcPr>
          <w:p w14:paraId="51D34DF2" w14:textId="77777777" w:rsidR="00DC3EF6" w:rsidRDefault="00DC3EF6" w:rsidP="00FA2663">
            <w:pPr>
              <w:pStyle w:val="NormalWeb"/>
              <w:jc w:val="center"/>
            </w:pPr>
            <w:r>
              <w:t>5.4</w:t>
            </w:r>
          </w:p>
        </w:tc>
        <w:tc>
          <w:tcPr>
            <w:tcW w:w="1237" w:type="dxa"/>
            <w:hideMark/>
          </w:tcPr>
          <w:p w14:paraId="3262116F" w14:textId="77777777" w:rsidR="00DC3EF6" w:rsidRDefault="00DC3EF6" w:rsidP="00FA2663">
            <w:pPr>
              <w:pStyle w:val="NormalWeb"/>
              <w:jc w:val="center"/>
            </w:pPr>
            <w:r>
              <w:t>34</w:t>
            </w:r>
          </w:p>
        </w:tc>
        <w:tc>
          <w:tcPr>
            <w:tcW w:w="1238" w:type="dxa"/>
            <w:hideMark/>
          </w:tcPr>
          <w:p w14:paraId="7743A4F7" w14:textId="77777777" w:rsidR="00DC3EF6" w:rsidRDefault="00DC3EF6" w:rsidP="00FA2663">
            <w:pPr>
              <w:pStyle w:val="NormalWeb"/>
              <w:jc w:val="center"/>
            </w:pPr>
            <w:r>
              <w:t>45</w:t>
            </w:r>
          </w:p>
        </w:tc>
        <w:tc>
          <w:tcPr>
            <w:tcW w:w="1238" w:type="dxa"/>
            <w:hideMark/>
          </w:tcPr>
          <w:p w14:paraId="791C892B" w14:textId="77777777" w:rsidR="00DC3EF6" w:rsidRDefault="00DC3EF6" w:rsidP="00FA2663">
            <w:pPr>
              <w:pStyle w:val="NormalWeb"/>
              <w:jc w:val="center"/>
            </w:pPr>
            <w:r>
              <w:t>79</w:t>
            </w:r>
          </w:p>
        </w:tc>
        <w:tc>
          <w:tcPr>
            <w:tcW w:w="1238" w:type="dxa"/>
            <w:hideMark/>
          </w:tcPr>
          <w:p w14:paraId="56C7371F" w14:textId="77777777" w:rsidR="00DC3EF6" w:rsidRDefault="00DC3EF6" w:rsidP="00FA2663">
            <w:pPr>
              <w:pStyle w:val="NormalWeb"/>
              <w:jc w:val="center"/>
            </w:pPr>
            <w:r>
              <w:t>9.2</w:t>
            </w:r>
          </w:p>
        </w:tc>
        <w:tc>
          <w:tcPr>
            <w:tcW w:w="1238" w:type="dxa"/>
            <w:hideMark/>
          </w:tcPr>
          <w:p w14:paraId="339A8DE2" w14:textId="77777777" w:rsidR="00DC3EF6" w:rsidRDefault="00DC3EF6" w:rsidP="00FA2663">
            <w:pPr>
              <w:pStyle w:val="NormalWeb"/>
              <w:jc w:val="center"/>
            </w:pPr>
            <w:r>
              <w:t>9.5</w:t>
            </w:r>
          </w:p>
        </w:tc>
        <w:tc>
          <w:tcPr>
            <w:tcW w:w="1238" w:type="dxa"/>
            <w:hideMark/>
          </w:tcPr>
          <w:p w14:paraId="4B41E6FA" w14:textId="77777777" w:rsidR="00DC3EF6" w:rsidRDefault="00DC3EF6" w:rsidP="00FA2663">
            <w:pPr>
              <w:pStyle w:val="NormalWeb"/>
              <w:jc w:val="center"/>
            </w:pPr>
            <w:r>
              <w:t>9.4</w:t>
            </w:r>
          </w:p>
        </w:tc>
      </w:tr>
      <w:tr w:rsidR="00CE6A51" w14:paraId="149AFD25" w14:textId="77777777" w:rsidTr="00A87795">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273" w:type="dxa"/>
            <w:hideMark/>
          </w:tcPr>
          <w:p w14:paraId="49B6A3A3" w14:textId="77777777" w:rsidR="00DC3EF6" w:rsidRDefault="00DC3EF6" w:rsidP="00FA2663">
            <w:pPr>
              <w:pStyle w:val="NormalWeb"/>
            </w:pPr>
            <w:r>
              <w:t>90 and over</w:t>
            </w:r>
          </w:p>
        </w:tc>
        <w:tc>
          <w:tcPr>
            <w:tcW w:w="1040" w:type="dxa"/>
            <w:hideMark/>
          </w:tcPr>
          <w:p w14:paraId="7EB08D56" w14:textId="77777777" w:rsidR="00DC3EF6" w:rsidRDefault="00DC3EF6" w:rsidP="00FA2663">
            <w:pPr>
              <w:pStyle w:val="NormalWeb"/>
              <w:jc w:val="center"/>
            </w:pPr>
            <w:r>
              <w:t>6</w:t>
            </w:r>
          </w:p>
        </w:tc>
        <w:tc>
          <w:tcPr>
            <w:tcW w:w="1040" w:type="dxa"/>
            <w:hideMark/>
          </w:tcPr>
          <w:p w14:paraId="562B1660" w14:textId="77777777" w:rsidR="00DC3EF6" w:rsidRDefault="00DC3EF6" w:rsidP="00FA2663">
            <w:pPr>
              <w:pStyle w:val="NormalWeb"/>
              <w:jc w:val="center"/>
            </w:pPr>
            <w:r>
              <w:t>4</w:t>
            </w:r>
          </w:p>
        </w:tc>
        <w:tc>
          <w:tcPr>
            <w:tcW w:w="1040" w:type="dxa"/>
            <w:hideMark/>
          </w:tcPr>
          <w:p w14:paraId="4E063DB6" w14:textId="77777777" w:rsidR="00DC3EF6" w:rsidRDefault="00DC3EF6" w:rsidP="00FA2663">
            <w:pPr>
              <w:pStyle w:val="NormalWeb"/>
              <w:jc w:val="center"/>
            </w:pPr>
            <w:r>
              <w:t>10</w:t>
            </w:r>
          </w:p>
        </w:tc>
        <w:tc>
          <w:tcPr>
            <w:tcW w:w="1040" w:type="dxa"/>
            <w:hideMark/>
          </w:tcPr>
          <w:p w14:paraId="607A4AFA" w14:textId="77777777" w:rsidR="00DC3EF6" w:rsidRDefault="00DC3EF6" w:rsidP="00FA2663">
            <w:pPr>
              <w:pStyle w:val="NormalWeb"/>
              <w:jc w:val="center"/>
            </w:pPr>
            <w:r>
              <w:t>8.2</w:t>
            </w:r>
          </w:p>
        </w:tc>
        <w:tc>
          <w:tcPr>
            <w:tcW w:w="1040" w:type="dxa"/>
            <w:hideMark/>
          </w:tcPr>
          <w:p w14:paraId="4E9B4D2F" w14:textId="77777777" w:rsidR="00DC3EF6" w:rsidRDefault="00DC3EF6" w:rsidP="00FA2663">
            <w:pPr>
              <w:pStyle w:val="NormalWeb"/>
              <w:jc w:val="center"/>
            </w:pPr>
            <w:r>
              <w:t>2.9</w:t>
            </w:r>
          </w:p>
        </w:tc>
        <w:tc>
          <w:tcPr>
            <w:tcW w:w="1040" w:type="dxa"/>
            <w:hideMark/>
          </w:tcPr>
          <w:p w14:paraId="36ECE149" w14:textId="77777777" w:rsidR="00DC3EF6" w:rsidRDefault="00DC3EF6" w:rsidP="00FA2663">
            <w:pPr>
              <w:pStyle w:val="NormalWeb"/>
              <w:jc w:val="center"/>
            </w:pPr>
            <w:r>
              <w:t>4.7</w:t>
            </w:r>
          </w:p>
        </w:tc>
        <w:tc>
          <w:tcPr>
            <w:tcW w:w="1237" w:type="dxa"/>
            <w:hideMark/>
          </w:tcPr>
          <w:p w14:paraId="388B85DC" w14:textId="77777777" w:rsidR="00DC3EF6" w:rsidRDefault="00DC3EF6" w:rsidP="00FA2663">
            <w:pPr>
              <w:pStyle w:val="NormalWeb"/>
              <w:jc w:val="center"/>
            </w:pPr>
            <w:r>
              <w:t>8</w:t>
            </w:r>
          </w:p>
        </w:tc>
        <w:tc>
          <w:tcPr>
            <w:tcW w:w="1238" w:type="dxa"/>
            <w:hideMark/>
          </w:tcPr>
          <w:p w14:paraId="5B9B28AE" w14:textId="77777777" w:rsidR="00DC3EF6" w:rsidRDefault="00DC3EF6" w:rsidP="00FA2663">
            <w:pPr>
              <w:pStyle w:val="NormalWeb"/>
              <w:jc w:val="center"/>
            </w:pPr>
            <w:r>
              <w:t>9</w:t>
            </w:r>
          </w:p>
        </w:tc>
        <w:tc>
          <w:tcPr>
            <w:tcW w:w="1238" w:type="dxa"/>
            <w:hideMark/>
          </w:tcPr>
          <w:p w14:paraId="6A747A4B" w14:textId="77777777" w:rsidR="00DC3EF6" w:rsidRDefault="00DC3EF6" w:rsidP="00FA2663">
            <w:pPr>
              <w:pStyle w:val="NormalWeb"/>
              <w:jc w:val="center"/>
            </w:pPr>
            <w:r>
              <w:t>17</w:t>
            </w:r>
          </w:p>
        </w:tc>
        <w:tc>
          <w:tcPr>
            <w:tcW w:w="1238" w:type="dxa"/>
            <w:hideMark/>
          </w:tcPr>
          <w:p w14:paraId="11847C58" w14:textId="77777777" w:rsidR="00DC3EF6" w:rsidRDefault="00DC3EF6" w:rsidP="00FA2663">
            <w:pPr>
              <w:pStyle w:val="NormalWeb"/>
              <w:jc w:val="center"/>
            </w:pPr>
            <w:r>
              <w:t>10.9</w:t>
            </w:r>
          </w:p>
        </w:tc>
        <w:tc>
          <w:tcPr>
            <w:tcW w:w="1238" w:type="dxa"/>
            <w:hideMark/>
          </w:tcPr>
          <w:p w14:paraId="22A3016E" w14:textId="77777777" w:rsidR="00DC3EF6" w:rsidRDefault="00DC3EF6" w:rsidP="00FA2663">
            <w:pPr>
              <w:pStyle w:val="NormalWeb"/>
              <w:jc w:val="center"/>
            </w:pPr>
            <w:r>
              <w:t>6.5</w:t>
            </w:r>
          </w:p>
        </w:tc>
        <w:tc>
          <w:tcPr>
            <w:tcW w:w="1238" w:type="dxa"/>
            <w:hideMark/>
          </w:tcPr>
          <w:p w14:paraId="627A9B0C" w14:textId="77777777" w:rsidR="00DC3EF6" w:rsidRDefault="00DC3EF6" w:rsidP="00FA2663">
            <w:pPr>
              <w:pStyle w:val="NormalWeb"/>
              <w:jc w:val="center"/>
            </w:pPr>
            <w:r>
              <w:t>8</w:t>
            </w:r>
          </w:p>
        </w:tc>
      </w:tr>
    </w:tbl>
    <w:p w14:paraId="18EE297E" w14:textId="77777777" w:rsidR="00DC3EF6" w:rsidRDefault="00DC3EF6" w:rsidP="00DC3EF6">
      <w:pPr>
        <w:pStyle w:val="CDIfootnotes"/>
        <w:rPr>
          <w:lang w:val="en-GB"/>
        </w:rPr>
      </w:pPr>
      <w:r>
        <w:rPr>
          <w:lang w:val="en-GB"/>
        </w:rPr>
        <w:t>a</w:t>
      </w:r>
      <w:r>
        <w:rPr>
          <w:lang w:val="en-GB"/>
        </w:rPr>
        <w:tab/>
        <w:t>Source: NNDSS, extract from 3 August 2021 for notifications up to 1 August 2021. Excludes cases where age or sex data is missing.</w:t>
      </w:r>
    </w:p>
    <w:p w14:paraId="03BA9155" w14:textId="77777777" w:rsidR="00DC3EF6" w:rsidRDefault="00DC3EF6" w:rsidP="00DC3EF6">
      <w:pPr>
        <w:pStyle w:val="CDIfootnotes"/>
        <w:rPr>
          <w:lang w:val="en-GB"/>
        </w:rPr>
      </w:pPr>
      <w:r>
        <w:rPr>
          <w:lang w:val="en-GB"/>
        </w:rPr>
        <w:t>b</w:t>
      </w:r>
      <w:r>
        <w:rPr>
          <w:lang w:val="en-GB"/>
        </w:rPr>
        <w:tab/>
        <w:t>Population data based on Australian Bureau of Statistics (ABS) Estimated Resident Population (ERP) as at June 2020.</w:t>
      </w:r>
    </w:p>
    <w:p w14:paraId="27661317" w14:textId="77777777" w:rsidR="00DC3EF6" w:rsidRDefault="00DC3EF6" w:rsidP="00DC3EF6">
      <w:pPr>
        <w:pStyle w:val="CDIfootnotes"/>
        <w:rPr>
          <w:lang w:val="en-GB"/>
        </w:rPr>
      </w:pPr>
      <w:r>
        <w:rPr>
          <w:lang w:val="en-GB"/>
        </w:rPr>
        <w:t>c</w:t>
      </w:r>
      <w:r>
        <w:rPr>
          <w:lang w:val="en-GB"/>
        </w:rPr>
        <w:tab/>
        <w:t>Note the change to focus on rates in this year only. For cumulative rates since the beginning of the epidemic in Australia, readers are encouraged to consult previous reports.</w:t>
      </w:r>
    </w:p>
    <w:p w14:paraId="230F5798" w14:textId="5ACBCEBF" w:rsidR="008B5348" w:rsidRDefault="008B5348">
      <w:pPr>
        <w:rPr>
          <w:rStyle w:val="A10"/>
        </w:rPr>
      </w:pPr>
    </w:p>
    <w:p w14:paraId="1EA0238F" w14:textId="77777777" w:rsidR="008B5348" w:rsidRDefault="008B5348">
      <w:pPr>
        <w:rPr>
          <w:rStyle w:val="A10"/>
        </w:rPr>
        <w:sectPr w:rsidR="008B5348" w:rsidSect="00CE6A51">
          <w:footnotePr>
            <w:numFmt w:val="lowerRoman"/>
          </w:footnotePr>
          <w:pgSz w:w="16838" w:h="11906" w:orient="landscape"/>
          <w:pgMar w:top="720" w:right="720" w:bottom="720" w:left="1134" w:header="709" w:footer="284" w:gutter="0"/>
          <w:cols w:space="708"/>
          <w:titlePg/>
          <w:docGrid w:linePitch="360"/>
        </w:sectPr>
      </w:pPr>
    </w:p>
    <w:p w14:paraId="0080E76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C3A8567"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C1CAD98" w14:textId="77777777" w:rsidR="000A5F42" w:rsidRPr="000606CC" w:rsidRDefault="000A5F42" w:rsidP="000A5F42">
      <w:pPr>
        <w:pStyle w:val="NoSpacing"/>
        <w:rPr>
          <w:rStyle w:val="URI"/>
          <w:rFonts w:cstheme="minorHAnsi"/>
          <w:sz w:val="20"/>
          <w:szCs w:val="18"/>
        </w:rPr>
      </w:pPr>
    </w:p>
    <w:p w14:paraId="133C51E6"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0C1EA871" w14:textId="77777777" w:rsidR="000A5F42" w:rsidRPr="000606CC" w:rsidRDefault="000A5F42" w:rsidP="000A5F42">
      <w:pPr>
        <w:pStyle w:val="NoSpacing"/>
        <w:rPr>
          <w:rStyle w:val="Strong"/>
          <w:rFonts w:cstheme="minorHAnsi"/>
          <w:sz w:val="20"/>
          <w:szCs w:val="18"/>
        </w:rPr>
      </w:pPr>
    </w:p>
    <w:p w14:paraId="0F30C042"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5C4C693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A6D102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511E30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5A3FD112" w14:textId="77777777" w:rsidR="000A5F42" w:rsidRPr="000606CC" w:rsidRDefault="000A5F42" w:rsidP="000A5F42">
      <w:pPr>
        <w:pStyle w:val="NoSpacing"/>
        <w:rPr>
          <w:rStyle w:val="Strong"/>
          <w:rFonts w:cstheme="minorHAnsi"/>
          <w:sz w:val="20"/>
          <w:szCs w:val="18"/>
        </w:rPr>
      </w:pPr>
    </w:p>
    <w:p w14:paraId="5D448298" w14:textId="7BA686B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852E001" w14:textId="77777777" w:rsidR="000A5F42" w:rsidRPr="000606CC" w:rsidRDefault="000A5F42" w:rsidP="000A5F42">
      <w:pPr>
        <w:pStyle w:val="NoSpacing"/>
        <w:rPr>
          <w:rStyle w:val="Strong"/>
          <w:rFonts w:cstheme="minorHAnsi"/>
          <w:sz w:val="20"/>
          <w:szCs w:val="18"/>
        </w:rPr>
      </w:pPr>
    </w:p>
    <w:p w14:paraId="0E685797"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53F4EB6F" w14:textId="77777777" w:rsidR="000A5F42" w:rsidRPr="000606CC" w:rsidRDefault="000A5F42" w:rsidP="000A5F42">
      <w:pPr>
        <w:pStyle w:val="NoSpacing"/>
        <w:rPr>
          <w:rStyle w:val="Strong"/>
          <w:rFonts w:cstheme="minorHAnsi"/>
          <w:sz w:val="20"/>
          <w:szCs w:val="18"/>
        </w:rPr>
      </w:pPr>
    </w:p>
    <w:p w14:paraId="75F8E846" w14:textId="3467D87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8F3B54C" w14:textId="77777777" w:rsidR="000A5F42" w:rsidRPr="000606CC" w:rsidRDefault="000A5F42" w:rsidP="000A5F42">
      <w:pPr>
        <w:pStyle w:val="NoSpacing"/>
        <w:rPr>
          <w:rStyle w:val="Strong"/>
          <w:rFonts w:cstheme="minorHAnsi"/>
          <w:sz w:val="20"/>
          <w:szCs w:val="18"/>
        </w:rPr>
      </w:pPr>
    </w:p>
    <w:p w14:paraId="687F05CA" w14:textId="7FFCF141"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C0E06C6" w14:textId="733573B4"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7126C573" w14:textId="77777777" w:rsidR="000A5F42" w:rsidRPr="000606CC" w:rsidRDefault="000A5F42" w:rsidP="000A5F42">
      <w:pPr>
        <w:pStyle w:val="NoSpacing"/>
        <w:pBdr>
          <w:bottom w:val="single" w:sz="6" w:space="1" w:color="auto"/>
        </w:pBdr>
        <w:rPr>
          <w:rStyle w:val="Strong"/>
          <w:rFonts w:cstheme="minorHAnsi"/>
          <w:sz w:val="12"/>
          <w:szCs w:val="18"/>
        </w:rPr>
      </w:pPr>
    </w:p>
    <w:p w14:paraId="7771BFCA" w14:textId="77777777" w:rsidR="000A5F42" w:rsidRPr="000606CC" w:rsidRDefault="000A5F42" w:rsidP="000A5F42">
      <w:pPr>
        <w:pStyle w:val="NoSpacing"/>
        <w:rPr>
          <w:rFonts w:cstheme="minorHAnsi"/>
          <w:sz w:val="20"/>
          <w:szCs w:val="18"/>
        </w:rPr>
      </w:pPr>
    </w:p>
    <w:p w14:paraId="61D7A1B1"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2862E024" w14:textId="77777777" w:rsidR="000A5F42" w:rsidRPr="000606CC" w:rsidRDefault="000A5F42" w:rsidP="000A5F42">
      <w:pPr>
        <w:pStyle w:val="NoSpacing"/>
        <w:rPr>
          <w:rFonts w:cstheme="minorHAnsi"/>
          <w:sz w:val="20"/>
          <w:szCs w:val="18"/>
        </w:rPr>
      </w:pPr>
    </w:p>
    <w:p w14:paraId="743D7A9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5944DC3"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5578357D" w14:textId="5021B6CD"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FA8DBCA" w14:textId="77777777" w:rsidR="000A5F42" w:rsidRPr="000606CC" w:rsidRDefault="000A5F42" w:rsidP="000A5F42">
      <w:pPr>
        <w:pStyle w:val="NoSpacing"/>
        <w:rPr>
          <w:rFonts w:cstheme="minorHAnsi"/>
          <w:sz w:val="20"/>
          <w:szCs w:val="18"/>
        </w:rPr>
      </w:pPr>
    </w:p>
    <w:p w14:paraId="0C04DD5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1ACA109" w14:textId="5A5F56BB"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6AA99D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19DD3A4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5710A55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4A37FE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F6F7CF6" w14:textId="77777777" w:rsidR="000A5F42" w:rsidRPr="000606CC" w:rsidRDefault="000A5F42" w:rsidP="000A5F42">
      <w:pPr>
        <w:pStyle w:val="NoSpacing"/>
        <w:rPr>
          <w:rStyle w:val="Strong"/>
          <w:rFonts w:cstheme="minorHAnsi"/>
          <w:sz w:val="20"/>
          <w:szCs w:val="18"/>
        </w:rPr>
      </w:pPr>
    </w:p>
    <w:p w14:paraId="7319EFB6"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50E0D2E" w14:textId="77777777" w:rsidR="000A5F42" w:rsidRPr="000606CC" w:rsidRDefault="000A5F42" w:rsidP="000A5F42">
      <w:pPr>
        <w:pStyle w:val="NoSpacing"/>
        <w:rPr>
          <w:rStyle w:val="Strong"/>
          <w:rFonts w:cstheme="minorHAnsi"/>
          <w:sz w:val="20"/>
          <w:szCs w:val="18"/>
        </w:rPr>
      </w:pPr>
    </w:p>
    <w:p w14:paraId="471C857D" w14:textId="5A124B7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C39D5D7" w14:textId="77777777" w:rsidR="000A5F42" w:rsidRPr="000606CC" w:rsidRDefault="000A5F42" w:rsidP="000A5F42">
      <w:pPr>
        <w:pStyle w:val="NoSpacing"/>
        <w:rPr>
          <w:rStyle w:val="URI"/>
          <w:rFonts w:cstheme="minorHAnsi"/>
          <w:sz w:val="20"/>
          <w:szCs w:val="18"/>
        </w:rPr>
      </w:pPr>
    </w:p>
    <w:p w14:paraId="41CD733F" w14:textId="5394FF8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01CAFF13" w14:textId="77777777" w:rsidR="001B37B8" w:rsidRPr="00E92237" w:rsidRDefault="001B37B8" w:rsidP="001B37B8">
      <w:pPr>
        <w:rPr>
          <w:rFonts w:cs="Myriad Pro"/>
          <w:color w:val="211D1E"/>
          <w:sz w:val="20"/>
          <w:szCs w:val="20"/>
        </w:rPr>
      </w:pPr>
    </w:p>
    <w:sectPr w:rsidR="001B37B8" w:rsidRPr="00E92237" w:rsidSect="002B75A9">
      <w:headerReference w:type="default" r:id="rId23"/>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41C18" w14:textId="77777777" w:rsidR="00FA2663" w:rsidRDefault="00FA2663" w:rsidP="00E54DBA">
      <w:r>
        <w:separator/>
      </w:r>
    </w:p>
    <w:p w14:paraId="35A69306" w14:textId="77777777" w:rsidR="00FA2663" w:rsidRDefault="00FA2663"/>
    <w:p w14:paraId="5263108A" w14:textId="77777777" w:rsidR="00FA2663" w:rsidRDefault="00FA2663" w:rsidP="008714B0"/>
  </w:endnote>
  <w:endnote w:type="continuationSeparator" w:id="0">
    <w:p w14:paraId="34B3C99A" w14:textId="77777777" w:rsidR="00FA2663" w:rsidRDefault="00FA2663" w:rsidP="00E54DBA">
      <w:r>
        <w:continuationSeparator/>
      </w:r>
    </w:p>
    <w:p w14:paraId="7049E9DE" w14:textId="77777777" w:rsidR="00FA2663" w:rsidRDefault="00FA2663"/>
    <w:p w14:paraId="5E9DCA14" w14:textId="77777777" w:rsidR="00FA2663" w:rsidRDefault="00FA266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E8B6D" w14:textId="7DDD503E" w:rsidR="00FA2663" w:rsidRPr="0042435E" w:rsidRDefault="00FA2663"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330BF2">
      <w:rPr>
        <w:i/>
        <w:sz w:val="18"/>
      </w:rPr>
      <w:t>Commun</w:t>
    </w:r>
    <w:proofErr w:type="spellEnd"/>
    <w:r w:rsidRPr="00330BF2">
      <w:rPr>
        <w:i/>
        <w:sz w:val="18"/>
      </w:rPr>
      <w:t xml:space="preserve"> Dis </w:t>
    </w:r>
    <w:proofErr w:type="spellStart"/>
    <w:r w:rsidRPr="00330BF2">
      <w:rPr>
        <w:i/>
        <w:sz w:val="18"/>
      </w:rPr>
      <w:t>Intell</w:t>
    </w:r>
    <w:proofErr w:type="spellEnd"/>
    <w:r w:rsidRPr="00330BF2">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https://doi.org/10.33321/cdi.2021.45.41</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CD0882">
      <w:rPr>
        <w:sz w:val="18"/>
      </w:rPr>
      <w:t>12/08/2021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9FFF3" w14:textId="611DEC60" w:rsidR="00FA2663" w:rsidRPr="00BB5378" w:rsidRDefault="00FA2663"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330BF2">
      <w:rPr>
        <w:i/>
        <w:sz w:val="18"/>
      </w:rPr>
      <w:t>Commun</w:t>
    </w:r>
    <w:proofErr w:type="spellEnd"/>
    <w:r w:rsidRPr="00330BF2">
      <w:rPr>
        <w:i/>
        <w:sz w:val="18"/>
      </w:rPr>
      <w:t xml:space="preserve"> Dis </w:t>
    </w:r>
    <w:proofErr w:type="spellStart"/>
    <w:r w:rsidRPr="00330BF2">
      <w:rPr>
        <w:i/>
        <w:sz w:val="18"/>
      </w:rPr>
      <w:t>Intell</w:t>
    </w:r>
    <w:proofErr w:type="spellEnd"/>
    <w:r w:rsidRPr="00330BF2">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sidR="00CD0882">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CD0882">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CD0882">
      <w:rPr>
        <w:sz w:val="18"/>
      </w:rPr>
      <w:t>https://doi.org/10.33321/cdi.2021.45.41</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CD0882">
      <w:rPr>
        <w:sz w:val="18"/>
      </w:rPr>
      <w:t>12/08/2021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81E71" w14:textId="77777777" w:rsidR="00FA2663" w:rsidRPr="00B91FB5" w:rsidRDefault="00FA2663" w:rsidP="00B91FB5">
      <w:pPr>
        <w:spacing w:after="0" w:line="240" w:lineRule="auto"/>
        <w:rPr>
          <w:sz w:val="18"/>
          <w:szCs w:val="18"/>
        </w:rPr>
      </w:pPr>
      <w:r w:rsidRPr="00B91FB5">
        <w:rPr>
          <w:sz w:val="18"/>
          <w:szCs w:val="18"/>
        </w:rPr>
        <w:separator/>
      </w:r>
    </w:p>
  </w:footnote>
  <w:footnote w:type="continuationSeparator" w:id="0">
    <w:p w14:paraId="2411F8C0" w14:textId="77777777" w:rsidR="00FA2663" w:rsidRDefault="00FA2663" w:rsidP="00E54DBA">
      <w:r>
        <w:continuationSeparator/>
      </w:r>
    </w:p>
  </w:footnote>
  <w:footnote w:type="continuationNotice" w:id="1">
    <w:p w14:paraId="40C5DEEE" w14:textId="77777777" w:rsidR="00FA2663" w:rsidRPr="00224EFF" w:rsidRDefault="00FA2663" w:rsidP="00224EFF">
      <w:pPr>
        <w:pStyle w:val="Footer"/>
      </w:pPr>
    </w:p>
  </w:footnote>
  <w:footnote w:id="2">
    <w:p w14:paraId="207D0F68" w14:textId="5A014C61" w:rsidR="00FA2663" w:rsidRPr="00747977" w:rsidRDefault="00FA2663" w:rsidP="00747977">
      <w:pPr>
        <w:pStyle w:val="CDIfootnotes"/>
      </w:pPr>
      <w:r w:rsidRPr="00747977">
        <w:rPr>
          <w:rStyle w:val="FootnoteReference"/>
          <w:vertAlign w:val="baseline"/>
        </w:rPr>
        <w:footnoteRef/>
      </w:r>
      <w:r w:rsidRPr="00747977">
        <w:tab/>
        <w:t>https://www.health.gov.au/news/health-alerts/novel-coronavirus-2019-ncov-health-alert#local-outbreak-information.</w:t>
      </w:r>
    </w:p>
  </w:footnote>
  <w:footnote w:id="3">
    <w:p w14:paraId="200CBEDD" w14:textId="21BCBDDA" w:rsidR="00FA2663" w:rsidRPr="00747977" w:rsidRDefault="00FA2663" w:rsidP="00747977">
      <w:pPr>
        <w:pStyle w:val="CDIfootnotes"/>
      </w:pPr>
      <w:r w:rsidRPr="00747977">
        <w:rPr>
          <w:rStyle w:val="FootnoteReference"/>
          <w:vertAlign w:val="baseline"/>
        </w:rPr>
        <w:footnoteRef/>
      </w:r>
      <w:r w:rsidRPr="00747977">
        <w:tab/>
        <w:t>https://www.who.int/emergencies/diseases/novel-coronavirus-2019/situation-reports/.</w:t>
      </w:r>
    </w:p>
  </w:footnote>
  <w:footnote w:id="4">
    <w:p w14:paraId="315F226B" w14:textId="0E240519" w:rsidR="00FA2663" w:rsidRPr="00747977" w:rsidRDefault="00FA2663" w:rsidP="00747977">
      <w:pPr>
        <w:pStyle w:val="CDIfootnotes"/>
        <w:rPr>
          <w:lang w:val="en-GB"/>
        </w:rPr>
      </w:pPr>
      <w:r w:rsidRPr="00747977">
        <w:rPr>
          <w:rStyle w:val="FootnoteReference"/>
          <w:vertAlign w:val="baseline"/>
        </w:rPr>
        <w:footnoteRef/>
      </w:r>
      <w:r>
        <w:tab/>
      </w:r>
      <w:r w:rsidRPr="00747977">
        <w:t>https://www.health.gov.au/news/health-alerts/novel-coronavirus-2019-ncov-health-alert/coronavirus-covid-19-current-situation-and-case-numbers.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9944" w14:textId="11E789F2" w:rsidR="00FA2663" w:rsidRPr="00A153B6" w:rsidRDefault="00CD088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A2663">
          <w:t>Surveillance summary</w:t>
        </w:r>
      </w:sdtContent>
    </w:sdt>
    <w:r w:rsidR="00FA2663">
      <w:ptab w:relativeTo="margin" w:alignment="right" w:leader="none"/>
    </w:r>
    <w:r w:rsidR="00FA2663"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7D92B" w14:textId="77777777" w:rsidR="00FA2663" w:rsidRPr="000A5F42" w:rsidRDefault="00FA2663" w:rsidP="000A5F42">
    <w:pPr>
      <w:pStyle w:val="Header"/>
      <w:jc w:val="center"/>
      <w:rPr>
        <w:b/>
      </w:rPr>
    </w:pPr>
    <w:r w:rsidRPr="00E810C5">
      <w:rPr>
        <w:rFonts w:cs="Myriad Pro"/>
        <w:noProof/>
        <w:color w:val="211D1E"/>
        <w:sz w:val="16"/>
      </w:rPr>
      <w:drawing>
        <wp:inline distT="0" distB="0" distL="0" distR="0" wp14:anchorId="53D9D858" wp14:editId="674D78F7">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D39"/>
    <w:multiLevelType w:val="multilevel"/>
    <w:tmpl w:val="DDBA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D4571A"/>
    <w:multiLevelType w:val="hybridMultilevel"/>
    <w:tmpl w:val="7436AB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553372"/>
    <w:multiLevelType w:val="multilevel"/>
    <w:tmpl w:val="BB22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605"/>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3BEC"/>
    <w:rsid w:val="000969B3"/>
    <w:rsid w:val="000A5F42"/>
    <w:rsid w:val="000B0F68"/>
    <w:rsid w:val="000D4B4D"/>
    <w:rsid w:val="000E1F4B"/>
    <w:rsid w:val="00113D58"/>
    <w:rsid w:val="001200CB"/>
    <w:rsid w:val="0013436E"/>
    <w:rsid w:val="001378A3"/>
    <w:rsid w:val="00152558"/>
    <w:rsid w:val="00155582"/>
    <w:rsid w:val="00161590"/>
    <w:rsid w:val="00171CC0"/>
    <w:rsid w:val="00175494"/>
    <w:rsid w:val="00175629"/>
    <w:rsid w:val="001766AA"/>
    <w:rsid w:val="001830EC"/>
    <w:rsid w:val="00183534"/>
    <w:rsid w:val="001A4A96"/>
    <w:rsid w:val="001A5D05"/>
    <w:rsid w:val="001A796C"/>
    <w:rsid w:val="001B2614"/>
    <w:rsid w:val="001B37B8"/>
    <w:rsid w:val="001B552F"/>
    <w:rsid w:val="001C0893"/>
    <w:rsid w:val="001C1303"/>
    <w:rsid w:val="001C66FC"/>
    <w:rsid w:val="001C70B2"/>
    <w:rsid w:val="001D37C7"/>
    <w:rsid w:val="001D6888"/>
    <w:rsid w:val="001F100C"/>
    <w:rsid w:val="001F1397"/>
    <w:rsid w:val="00211DE5"/>
    <w:rsid w:val="00224EFF"/>
    <w:rsid w:val="002276DC"/>
    <w:rsid w:val="00227E00"/>
    <w:rsid w:val="002307CB"/>
    <w:rsid w:val="00230EB2"/>
    <w:rsid w:val="00231046"/>
    <w:rsid w:val="00234F21"/>
    <w:rsid w:val="00242659"/>
    <w:rsid w:val="002428F7"/>
    <w:rsid w:val="0024315F"/>
    <w:rsid w:val="0024631C"/>
    <w:rsid w:val="00252C9A"/>
    <w:rsid w:val="00256309"/>
    <w:rsid w:val="00257484"/>
    <w:rsid w:val="00260636"/>
    <w:rsid w:val="00275C78"/>
    <w:rsid w:val="00280594"/>
    <w:rsid w:val="00281EE3"/>
    <w:rsid w:val="00284909"/>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0BF2"/>
    <w:rsid w:val="003323BC"/>
    <w:rsid w:val="00346D42"/>
    <w:rsid w:val="00346E11"/>
    <w:rsid w:val="003601C0"/>
    <w:rsid w:val="003635F5"/>
    <w:rsid w:val="00372A88"/>
    <w:rsid w:val="00381A0F"/>
    <w:rsid w:val="003A1B3A"/>
    <w:rsid w:val="003A40F5"/>
    <w:rsid w:val="003B5B8C"/>
    <w:rsid w:val="003D5616"/>
    <w:rsid w:val="003D79B1"/>
    <w:rsid w:val="003E74EE"/>
    <w:rsid w:val="003F0552"/>
    <w:rsid w:val="003F3BC2"/>
    <w:rsid w:val="004019EF"/>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74A"/>
    <w:rsid w:val="004A38F6"/>
    <w:rsid w:val="004B375D"/>
    <w:rsid w:val="004B4EB6"/>
    <w:rsid w:val="004C083C"/>
    <w:rsid w:val="004C2BC2"/>
    <w:rsid w:val="004C67C6"/>
    <w:rsid w:val="004D29DE"/>
    <w:rsid w:val="00510EAC"/>
    <w:rsid w:val="00542A57"/>
    <w:rsid w:val="00565974"/>
    <w:rsid w:val="005732C0"/>
    <w:rsid w:val="0057336D"/>
    <w:rsid w:val="0057489A"/>
    <w:rsid w:val="00574ACF"/>
    <w:rsid w:val="00581588"/>
    <w:rsid w:val="00584ED1"/>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68B0"/>
    <w:rsid w:val="00674C47"/>
    <w:rsid w:val="006971F3"/>
    <w:rsid w:val="006B3925"/>
    <w:rsid w:val="006C74A3"/>
    <w:rsid w:val="006D1381"/>
    <w:rsid w:val="006D31BC"/>
    <w:rsid w:val="006D541A"/>
    <w:rsid w:val="006D5A7C"/>
    <w:rsid w:val="006E7943"/>
    <w:rsid w:val="006F24EA"/>
    <w:rsid w:val="00704CA9"/>
    <w:rsid w:val="0071048D"/>
    <w:rsid w:val="00710F86"/>
    <w:rsid w:val="007111A8"/>
    <w:rsid w:val="00731BC3"/>
    <w:rsid w:val="00741192"/>
    <w:rsid w:val="007434B2"/>
    <w:rsid w:val="00743A33"/>
    <w:rsid w:val="00746080"/>
    <w:rsid w:val="00747977"/>
    <w:rsid w:val="0075144A"/>
    <w:rsid w:val="00786329"/>
    <w:rsid w:val="00792C7D"/>
    <w:rsid w:val="00794A4D"/>
    <w:rsid w:val="007A5234"/>
    <w:rsid w:val="007B7854"/>
    <w:rsid w:val="007C42CA"/>
    <w:rsid w:val="007C56A1"/>
    <w:rsid w:val="007C6454"/>
    <w:rsid w:val="007E01E0"/>
    <w:rsid w:val="007F0B93"/>
    <w:rsid w:val="007F2ECA"/>
    <w:rsid w:val="0080135E"/>
    <w:rsid w:val="00811708"/>
    <w:rsid w:val="00816B90"/>
    <w:rsid w:val="00817799"/>
    <w:rsid w:val="00822F5F"/>
    <w:rsid w:val="00824FD3"/>
    <w:rsid w:val="00826589"/>
    <w:rsid w:val="00833605"/>
    <w:rsid w:val="00834BCC"/>
    <w:rsid w:val="00850D54"/>
    <w:rsid w:val="0086710B"/>
    <w:rsid w:val="008678AF"/>
    <w:rsid w:val="008714B0"/>
    <w:rsid w:val="00876331"/>
    <w:rsid w:val="00880726"/>
    <w:rsid w:val="0089438A"/>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1302"/>
    <w:rsid w:val="00912050"/>
    <w:rsid w:val="00912E48"/>
    <w:rsid w:val="0092746F"/>
    <w:rsid w:val="00935DC9"/>
    <w:rsid w:val="009446C0"/>
    <w:rsid w:val="0096082E"/>
    <w:rsid w:val="00961347"/>
    <w:rsid w:val="00967410"/>
    <w:rsid w:val="00967D73"/>
    <w:rsid w:val="0098119A"/>
    <w:rsid w:val="00984AAF"/>
    <w:rsid w:val="00984CD9"/>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86F9A"/>
    <w:rsid w:val="00A87795"/>
    <w:rsid w:val="00AA35E6"/>
    <w:rsid w:val="00AA50B6"/>
    <w:rsid w:val="00AB3472"/>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66DF9"/>
    <w:rsid w:val="00B714B8"/>
    <w:rsid w:val="00B82C2C"/>
    <w:rsid w:val="00B84449"/>
    <w:rsid w:val="00B8720B"/>
    <w:rsid w:val="00B876EF"/>
    <w:rsid w:val="00B91FB5"/>
    <w:rsid w:val="00BA4697"/>
    <w:rsid w:val="00BB1FC7"/>
    <w:rsid w:val="00BB5378"/>
    <w:rsid w:val="00BC0051"/>
    <w:rsid w:val="00BC0BD3"/>
    <w:rsid w:val="00BD0107"/>
    <w:rsid w:val="00BE0C33"/>
    <w:rsid w:val="00BE262C"/>
    <w:rsid w:val="00BE6C3D"/>
    <w:rsid w:val="00C07606"/>
    <w:rsid w:val="00C12542"/>
    <w:rsid w:val="00C24725"/>
    <w:rsid w:val="00C30BA9"/>
    <w:rsid w:val="00C3541E"/>
    <w:rsid w:val="00C36A8F"/>
    <w:rsid w:val="00C42834"/>
    <w:rsid w:val="00C42FFA"/>
    <w:rsid w:val="00C44A97"/>
    <w:rsid w:val="00C47708"/>
    <w:rsid w:val="00C507D8"/>
    <w:rsid w:val="00C56485"/>
    <w:rsid w:val="00C62EAC"/>
    <w:rsid w:val="00C63F9F"/>
    <w:rsid w:val="00C7723C"/>
    <w:rsid w:val="00C838F5"/>
    <w:rsid w:val="00C841C0"/>
    <w:rsid w:val="00C96E15"/>
    <w:rsid w:val="00CA1AF4"/>
    <w:rsid w:val="00CA6068"/>
    <w:rsid w:val="00CB15E1"/>
    <w:rsid w:val="00CB3D46"/>
    <w:rsid w:val="00CD0882"/>
    <w:rsid w:val="00CD1A87"/>
    <w:rsid w:val="00CD35F3"/>
    <w:rsid w:val="00CD5C93"/>
    <w:rsid w:val="00CE342B"/>
    <w:rsid w:val="00CE6A51"/>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55F57"/>
    <w:rsid w:val="00D74140"/>
    <w:rsid w:val="00DA6E56"/>
    <w:rsid w:val="00DB09E8"/>
    <w:rsid w:val="00DC24E5"/>
    <w:rsid w:val="00DC3EF6"/>
    <w:rsid w:val="00DC6705"/>
    <w:rsid w:val="00DD2DE8"/>
    <w:rsid w:val="00DD63BF"/>
    <w:rsid w:val="00DE38B4"/>
    <w:rsid w:val="00DE5D02"/>
    <w:rsid w:val="00E005A9"/>
    <w:rsid w:val="00E1166E"/>
    <w:rsid w:val="00E24DC0"/>
    <w:rsid w:val="00E2519C"/>
    <w:rsid w:val="00E25F2A"/>
    <w:rsid w:val="00E41455"/>
    <w:rsid w:val="00E42AD2"/>
    <w:rsid w:val="00E50856"/>
    <w:rsid w:val="00E538CC"/>
    <w:rsid w:val="00E54BBD"/>
    <w:rsid w:val="00E54DBA"/>
    <w:rsid w:val="00E60464"/>
    <w:rsid w:val="00E63D7C"/>
    <w:rsid w:val="00E640D5"/>
    <w:rsid w:val="00E66E2E"/>
    <w:rsid w:val="00E67691"/>
    <w:rsid w:val="00E77137"/>
    <w:rsid w:val="00E92237"/>
    <w:rsid w:val="00E951EF"/>
    <w:rsid w:val="00EA3D54"/>
    <w:rsid w:val="00EA56D9"/>
    <w:rsid w:val="00EA5CE3"/>
    <w:rsid w:val="00EB2C2E"/>
    <w:rsid w:val="00EB51C1"/>
    <w:rsid w:val="00EB5AE1"/>
    <w:rsid w:val="00EB5E0B"/>
    <w:rsid w:val="00EC2171"/>
    <w:rsid w:val="00ED442D"/>
    <w:rsid w:val="00ED70C2"/>
    <w:rsid w:val="00EE18FF"/>
    <w:rsid w:val="00EE489F"/>
    <w:rsid w:val="00F0647F"/>
    <w:rsid w:val="00F102C3"/>
    <w:rsid w:val="00F10CE3"/>
    <w:rsid w:val="00F12006"/>
    <w:rsid w:val="00F13067"/>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A2663"/>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817C4E"/>
  <w15:docId w15:val="{672A51D0-87BA-41CF-9196-1D247FBC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C7"/>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8</TotalTime>
  <Pages>14</Pages>
  <Words>3968</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Communicable Diseases Intelligence 2021 - Communicable Diseases Intelligence 2021 - COVID-19 Australia: Epidemiology Report 47</vt:lpstr>
    </vt:vector>
  </TitlesOfParts>
  <Company>Australian Government, Department of Health</Company>
  <LinksUpToDate>false</LinksUpToDate>
  <CharactersWithSpaces>25441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Communicable Diseases Intelligence 2021 - COVID-19 Australia: Epidemiology Report 47</dc:title>
  <dc:subject>This is the forty-seventh epidemiological report for coronavirus disease 2019 (COVID-19), reported in Australia as at 23:59 Australian Eastern Standard Time [AEST] 1 August 2021. It includes data on COVID-19 cases diagnosed in Australia.</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6</cp:revision>
  <cp:lastPrinted>2018-05-10T02:19:00Z</cp:lastPrinted>
  <dcterms:created xsi:type="dcterms:W3CDTF">2021-08-10T05:31:00Z</dcterms:created>
  <dcterms:modified xsi:type="dcterms:W3CDTF">2021-08-11T23:47:00Z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12/08/2021</vt:lpwstr>
  </property>
  <property fmtid="{D5CDD505-2E9C-101B-9397-08002B2CF9AE}" pid="5" name="DOI">
    <vt:lpwstr>https://doi.org/10.33321/cdi.2021.45.41</vt:lpwstr>
  </property>
</Properties>
</file>